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6222A"/>
          <w:sz w:val="22"/>
          <w:szCs w:val="22"/>
        </w:rPr>
        <w:t xml:space="preserve">KRAMBUA BENSIN &amp; STORKIOSK</w:t>
      </w:r>
    </w:p>
    <w:p>
      <w:pPr>
        <w:spacing w:after="40"/>
      </w:pPr>
      <w:r>
        <w:rPr>
          <w:b/>
          <w:bCs/>
          <w:sz w:val="40"/>
          <w:szCs w:val="40"/>
        </w:rPr>
        <w:t xml:space="preserve">Sal av legemiddel utan resept</w:t>
      </w:r>
    </w:p>
    <w:p>
      <w:pPr>
        <w:spacing w:after="200"/>
      </w:pPr>
      <w:r>
        <w:rPr>
          <w:color w:val="5A594E"/>
          <w:sz w:val="26"/>
          <w:szCs w:val="26"/>
        </w:rPr>
        <w:t xml:space="preserve">Rutine (LUA — legemiddel utanom apotek)</w:t>
      </w:r>
    </w:p>
    <w:p>
      <w:pPr>
        <w:spacing w:after="40"/>
      </w:pPr>
      <w:r>
        <w:rPr>
          <w:sz w:val="20"/>
          <w:szCs w:val="20"/>
        </w:rPr>
        <w:t xml:space="preserve">Skånevik, Sunnhordland</w:t>
      </w:r>
    </w:p>
    <w:p>
      <w:pPr>
        <w:spacing w:after="200"/>
      </w:pPr>
      <w:r>
        <w:rPr>
          <w:i/>
          <w:iCs/>
          <w:sz w:val="20"/>
          <w:szCs w:val="20"/>
        </w:rPr>
        <w:t xml:space="preserve">Utarbeidd: august 2026 — sist revidert: ____________</w:t>
      </w:r>
    </w:p>
    <w:p>
      <w:pPr>
        <w:pBdr>
          <w:top w:val="single" w:color="CCCCCC" w:sz="4"/>
          <w:bottom w:val="single" w:color="CCCCCC" w:sz="4"/>
        </w:pBdr>
        <w:spacing w:after="200"/>
      </w:pPr>
      <w:r>
        <w:rPr>
          <w:i/>
          <w:iCs/>
          <w:sz w:val="20"/>
          <w:szCs w:val="20"/>
        </w:rPr>
        <w:t xml:space="preserve">Dette dokumentet skal oppbevarast tilgjengeleg for alle tilsette som handterer sal av legemiddel, og vere framme ved eventuelt tilsyn frå Statens legemiddelverk.</w:t>
      </w:r>
    </w:p>
    <w:p>
      <w:pPr>
        <w:pStyle w:val="Heading1"/>
        <w:spacing w:after="160" w:before="320"/>
      </w:pPr>
      <w:r>
        <w:t xml:space="preserve">1. Formål og heimel</w:t>
      </w:r>
    </w:p>
    <w:p>
      <w:pPr>
        <w:spacing w:after="140"/>
      </w:pPr>
      <w:r>
        <w:t xml:space="preserve">Krambua Bensin &amp; Storkiosk sel enkelte reseptfrie legemiddel til kundar, i tråd med ordninga for legemiddel utanom apotek (LUA), regulert av forskrift om omsetning av visse reseptfrie legemiddel utanom apotek. Denne rutinen skal sikre at sal skjer lovleg, forsvarleg og med naudsynt kontroll.</w:t>
      </w:r>
    </w:p>
    <w:p>
      <w:pPr>
        <w:spacing w:after="140"/>
      </w:pPr>
      <w:r>
        <w:t xml:space="preserve">Verksemda skal vere registrert hos Statens legemiddelverk før sal av LUA-legemiddel startar. Registreringa fornyast/stadfestast etter dei krav Legemiddelverket set.</w:t>
      </w:r>
    </w:p>
    <w:p>
      <w:pPr>
        <w:pStyle w:val="Heading1"/>
        <w:spacing w:after="160" w:before="320"/>
      </w:pPr>
      <w:r>
        <w:t xml:space="preserve">2. Kva som kan seljast</w:t>
      </w:r>
    </w:p>
    <w:p>
      <w:pPr>
        <w:spacing w:after="140"/>
      </w:pPr>
      <w:r>
        <w:t xml:space="preserve">Berre legemiddel som står på Legemiddelverket si gjeldande LUA-liste kan seljast utanom apotek. Typiske døme er:</w:t>
      </w:r>
    </w:p>
    <w:p>
      <w:pPr>
        <w:pStyle w:val="ListParagraph"/>
        <w:numPr>
          <w:ilvl w:val="0"/>
          <w:numId w:val="2"/>
        </w:numPr>
        <w:spacing w:after="80"/>
      </w:pPr>
      <w:r>
        <w:t xml:space="preserve">Smertestillande/febernedsetjande: paracetamol og ibuprofen, i pakningar med avgrensa tablettal og styrke (sjå gjeldande LUA-liste).</w:t>
      </w:r>
    </w:p>
    <w:p>
      <w:pPr>
        <w:pStyle w:val="ListParagraph"/>
        <w:numPr>
          <w:ilvl w:val="0"/>
          <w:numId w:val="2"/>
        </w:numPr>
        <w:spacing w:after="80"/>
      </w:pPr>
      <w:r>
        <w:t xml:space="preserve">Enkelte kvalme-/reisesjuke-, halsbrann- og allergimidlar, dersom dei er godkjende på lista.</w:t>
      </w:r>
    </w:p>
    <w:p>
      <w:pPr>
        <w:pStyle w:val="ListParagraph"/>
        <w:numPr>
          <w:ilvl w:val="0"/>
          <w:numId w:val="2"/>
        </w:numPr>
        <w:spacing w:after="80"/>
      </w:pPr>
      <w:r>
        <w:t xml:space="preserve">Nikotinlegemiddel (t.d. nikotintyggegummi/-plaster) til røykeavvenning.</w:t>
      </w:r>
    </w:p>
    <w:p>
      <w:pPr>
        <w:spacing w:after="140"/>
      </w:pPr>
      <w:r>
        <w:t xml:space="preserve">Legemiddel som IKKJE er på lista — til dømes reseptpliktige legemiddel, eller reseptfrie legemiddel i pakningar/styrkar utover det LUA-lista tillèt — skal ALDRI seljast. Ved tvil: ikkje sel, sjekk gjeldande liste eller spør dagleg leiar.</w:t>
      </w:r>
    </w:p>
    <w:p>
      <w:pPr>
        <w:spacing w:after="140"/>
      </w:pPr>
      <w:r>
        <w:t xml:space="preserve">Den til kvar tid gjeldande LUA-lista finn du på Statens legemiddelverk si nettside (legemiddelverket.no). Lista blir oppdatert av og til — sjekk han jamleg, og ved nye leveransar.</w:t>
      </w:r>
    </w:p>
    <w:p>
      <w:pPr>
        <w:pStyle w:val="Heading1"/>
        <w:spacing w:after="160" w:before="320"/>
      </w:pPr>
      <w:r>
        <w:t xml:space="preserve">3. Aldersgrense</w:t>
      </w:r>
    </w:p>
    <w:p>
      <w:pPr>
        <w:spacing w:after="140"/>
      </w:pPr>
      <w:r>
        <w:t xml:space="preserve">Det er 18 års aldersgrense for kjøp av legemiddel utanom apotek. Dette gjeld uavhengig av kva den unge kjøparen seier legemiddelet skal brukast til.</w:t>
      </w:r>
    </w:p>
    <w:p>
      <w:pPr>
        <w:pStyle w:val="ListParagraph"/>
        <w:numPr>
          <w:ilvl w:val="0"/>
          <w:numId w:val="2"/>
        </w:numPr>
        <w:spacing w:after="80"/>
      </w:pPr>
      <w:r>
        <w:t xml:space="preserve">Ved tvil om alder: spør om legitimasjon med bilete og fødselsdato (t.d. bankkort med bilete, pass, førarkort).</w:t>
      </w:r>
    </w:p>
    <w:p>
      <w:pPr>
        <w:pStyle w:val="ListParagraph"/>
        <w:numPr>
          <w:ilvl w:val="0"/>
          <w:numId w:val="2"/>
        </w:numPr>
        <w:spacing w:after="80"/>
      </w:pPr>
      <w:r>
        <w:t xml:space="preserve">Kan kunden ikkje leggje fram gyldig legitimasjon, og alderen er usikker, skal salet nektast.</w:t>
      </w:r>
    </w:p>
    <w:p>
      <w:pPr>
        <w:pStyle w:val="ListParagraph"/>
        <w:numPr>
          <w:ilvl w:val="0"/>
          <w:numId w:val="2"/>
        </w:numPr>
        <w:spacing w:after="80"/>
      </w:pPr>
      <w:r>
        <w:t xml:space="preserve">Same regel gjeld sjølv om kunden handlar på vegner av ein vaksen — det er kjøparen sin alder som avgjer, ikkje kven legemiddelet er til.</w:t>
      </w:r>
    </w:p>
    <w:p>
      <w:pPr>
        <w:pStyle w:val="Heading1"/>
        <w:spacing w:after="160" w:before="320"/>
      </w:pPr>
      <w:r>
        <w:t xml:space="preserve">4. Oppbevaring og eksponering</w:t>
      </w:r>
    </w:p>
    <w:p>
      <w:pPr>
        <w:pStyle w:val="ListParagraph"/>
        <w:numPr>
          <w:ilvl w:val="0"/>
          <w:numId w:val="2"/>
        </w:numPr>
        <w:spacing w:after="80"/>
      </w:pPr>
      <w:r>
        <w:t xml:space="preserve">Legemiddel skal oppbevarast utilgjengeleg for kundar — bak disk/kasse, ikkje i sjølvbeteningshyller kundar kan ta fritt frå.</w:t>
      </w:r>
    </w:p>
    <w:p>
      <w:pPr>
        <w:pStyle w:val="ListParagraph"/>
        <w:numPr>
          <w:ilvl w:val="0"/>
          <w:numId w:val="2"/>
        </w:numPr>
        <w:spacing w:after="80"/>
      </w:pPr>
      <w:r>
        <w:t xml:space="preserve">Legemiddel skal ikkje plasserast saman med eller i nærleiken av matvarer.</w:t>
      </w:r>
    </w:p>
    <w:p>
      <w:pPr>
        <w:pStyle w:val="ListParagraph"/>
        <w:numPr>
          <w:ilvl w:val="0"/>
          <w:numId w:val="2"/>
        </w:numPr>
        <w:spacing w:after="80"/>
      </w:pPr>
      <w:r>
        <w:t xml:space="preserve">Oppbevaringstemperatur og haldbarheit skal følgje det som står på pakninga/i pakningsvedlegget.</w:t>
      </w:r>
    </w:p>
    <w:p>
      <w:pPr>
        <w:pStyle w:val="ListParagraph"/>
        <w:numPr>
          <w:ilvl w:val="0"/>
          <w:numId w:val="2"/>
        </w:numPr>
        <w:spacing w:after="80"/>
      </w:pPr>
      <w:r>
        <w:t xml:space="preserve">Utgåtte eller skadde pakningar skal takast ut av sal umiddelbart og handterast som legemiddelavfall (sjå kap. 6), ikkje kastast i vanleg søppel.</w:t>
      </w:r>
    </w:p>
    <w:p>
      <w:pPr>
        <w:pStyle w:val="Heading1"/>
        <w:spacing w:after="160" w:before="320"/>
      </w:pPr>
      <w:r>
        <w:t xml:space="preserve">5. Sjølve salet</w:t>
      </w:r>
    </w:p>
    <w:p>
      <w:pPr>
        <w:pStyle w:val="ListParagraph"/>
        <w:numPr>
          <w:ilvl w:val="0"/>
          <w:numId w:val="2"/>
        </w:numPr>
        <w:spacing w:after="80"/>
      </w:pPr>
      <w:r>
        <w:t xml:space="preserve">Vurder kjøparen sin alder — spør om legitimasjon ved minste tvil (sjå kap. 3).</w:t>
      </w:r>
    </w:p>
    <w:p>
      <w:pPr>
        <w:pStyle w:val="ListParagraph"/>
        <w:numPr>
          <w:ilvl w:val="0"/>
          <w:numId w:val="2"/>
        </w:numPr>
        <w:spacing w:after="80"/>
      </w:pPr>
      <w:r>
        <w:t xml:space="preserve">Sel berre legemiddel frå gjeldande LUA-liste (sjå kap. 2), og innanfor tillaten pakningsstorleik.</w:t>
      </w:r>
    </w:p>
    <w:p>
      <w:pPr>
        <w:pStyle w:val="ListParagraph"/>
        <w:numPr>
          <w:ilvl w:val="0"/>
          <w:numId w:val="2"/>
        </w:numPr>
        <w:spacing w:after="80"/>
      </w:pPr>
      <w:r>
        <w:t xml:space="preserve">Ved usikkerheit om eit produkt er lov å selje: ikkje sel — spør dagleg leiar eller sjekk lista på nytt.</w:t>
      </w:r>
    </w:p>
    <w:p>
      <w:pPr>
        <w:pStyle w:val="ListParagraph"/>
        <w:numPr>
          <w:ilvl w:val="0"/>
          <w:numId w:val="2"/>
        </w:numPr>
        <w:spacing w:after="80"/>
      </w:pPr>
      <w:r>
        <w:t xml:space="preserve">Vis varsemd ved gjentekne kjøp av same kunde same dag/kort tid — ved mistanke om misbruk kan salet avgrensast eller nektast.</w:t>
      </w:r>
    </w:p>
    <w:p>
      <w:pPr>
        <w:pStyle w:val="ListParagraph"/>
        <w:numPr>
          <w:ilvl w:val="0"/>
          <w:numId w:val="2"/>
        </w:numPr>
        <w:spacing w:after="80"/>
      </w:pPr>
      <w:r>
        <w:t xml:space="preserve">Legemiddel skal registrerast/scannast som vanleg vare i kassesystemet, slik at sal kan sporast i etterkant.</w:t>
      </w:r>
    </w:p>
    <w:p>
      <w:pPr>
        <w:pStyle w:val="Heading1"/>
        <w:spacing w:after="160" w:before="320"/>
      </w:pPr>
      <w:r>
        <w:t xml:space="preserve">6. Retur, avvik og legemiddelavfall</w:t>
      </w:r>
    </w:p>
    <w:p>
      <w:pPr>
        <w:spacing w:after="140"/>
      </w:pPr>
      <w:r>
        <w:t xml:space="preserve">Utgåtte, skadde eller feilleverte legemiddelpakningar skal ikkje kastast i vanleg avfall. Dei skal leverast attende til leverandør/grossist etter fast rutine, eller leverast til apotek som tek imot legemiddelavfall.</w:t>
      </w:r>
    </w:p>
    <w:p>
      <w:pPr>
        <w:spacing w:after="140"/>
      </w:pPr>
      <w:r>
        <w:t xml:space="preserve">Avvik knytte til legemiddelsal — til dømes sal til mindreårig ved feil, oppdaga forfalska/skadd pakning, eller usikker eigenkontroll — skal loggførast som avvik (vedlegg A / «Meld avvik» i Krambua-permen), og meldast til dagleg leiar same dag.</w:t>
      </w:r>
    </w:p>
    <w:p>
      <w:pPr>
        <w:pStyle w:val="Heading1"/>
        <w:spacing w:after="160" w:before="320"/>
      </w:pPr>
      <w:r>
        <w:t xml:space="preserve">7. Ansvar og opplæring</w:t>
      </w:r>
    </w:p>
    <w:p>
      <w:pPr>
        <w:pStyle w:val="ListParagraph"/>
        <w:numPr>
          <w:ilvl w:val="0"/>
          <w:numId w:val="2"/>
        </w:numPr>
        <w:spacing w:after="80"/>
      </w:pPr>
      <w:r>
        <w:t xml:space="preserve">Dagleg leiar har ansvar for at verksemda er registrert hos Legemiddelverket, og at LUA-lista som blir følgd er oppdatert.</w:t>
      </w:r>
    </w:p>
    <w:p>
      <w:pPr>
        <w:pStyle w:val="ListParagraph"/>
        <w:numPr>
          <w:ilvl w:val="0"/>
          <w:numId w:val="2"/>
        </w:numPr>
        <w:spacing w:after="80"/>
      </w:pPr>
      <w:r>
        <w:t xml:space="preserve">Alle tilsette som sel legemiddel skal ha fått gjennomgang av denne rutinen før dei sel legemiddel åleine, og signere for gjennomført opplæring (vedlegg B).</w:t>
      </w:r>
    </w:p>
    <w:p>
      <w:pPr>
        <w:pStyle w:val="ListParagraph"/>
        <w:numPr>
          <w:ilvl w:val="0"/>
          <w:numId w:val="2"/>
        </w:numPr>
        <w:spacing w:after="80"/>
      </w:pPr>
      <w:r>
        <w:t xml:space="preserve">Rutinen skal gjennomgåast på nytt minst éin gong i året, eller ved endringar i regelverket/LUA-lista.</w:t>
      </w:r>
    </w:p>
    <w:p>
      <w:pPr>
        <w:pStyle w:val="Heading1"/>
        <w:spacing w:after="160" w:before="320"/>
      </w:pPr>
      <w:r>
        <w:t xml:space="preserve">8. Kontaktpunkt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C1C19" w:val="clear"/>
            <w:tcMar>
              <w:top w:type="dxa" w:w="80"/>
              <w:left w:type="dxa" w:w="100"/>
              <w:bottom w:type="dxa" w:w="80"/>
              <w:right w:type="dxa" w:w="100"/>
            </w:tcMar>
          </w:tcPr>
          <w:p>
            <w:r>
              <w:rPr>
                <w:b/>
                <w:bCs/>
                <w:color w:val="FFFFFF"/>
                <w:sz w:val="20"/>
                <w:szCs w:val="20"/>
              </w:rPr>
              <w:t xml:space="preserve"/>
            </w:r>
          </w:p>
        </w:tc>
        <w:tc>
          <w:tcPr>
            <w:tcW w:type="dxa" w:w="4700"/>
            <w:shd w:fill="1C1C19" w:val="clear"/>
            <w:tcMar>
              <w:top w:type="dxa" w:w="80"/>
              <w:left w:type="dxa" w:w="100"/>
              <w:bottom w:type="dxa" w:w="80"/>
              <w:right w:type="dxa" w:w="100"/>
            </w:tcMar>
          </w:tcPr>
          <w:p>
            <w:r>
              <w:rPr>
                <w:b/>
                <w:bCs/>
                <w:color w:val="FFFFFF"/>
                <w:sz w:val="20"/>
                <w:szCs w:val="20"/>
              </w:rPr>
              <w:t xml:space="preserve"/>
            </w:r>
          </w:p>
        </w:tc>
      </w:tr>
      <w:tr>
        <w:tc>
          <w:tcPr>
            <w:tcW w:type="dxa" w:w="4700"/>
            <w:tcMar>
              <w:top w:type="dxa" w:w="80"/>
              <w:left w:type="dxa" w:w="100"/>
              <w:bottom w:type="dxa" w:w="80"/>
              <w:right w:type="dxa" w:w="100"/>
            </w:tcMar>
          </w:tcPr>
          <w:p>
            <w:r>
              <w:rPr>
                <w:b w:val="false"/>
                <w:bCs w:val="false"/>
                <w:sz w:val="20"/>
                <w:szCs w:val="20"/>
              </w:rPr>
              <w:t xml:space="preserve">Dagleg leiar</w:t>
            </w:r>
          </w:p>
        </w:tc>
        <w:tc>
          <w:tcPr>
            <w:tcW w:type="dxa" w:w="4700"/>
            <w:tcMar>
              <w:top w:type="dxa" w:w="80"/>
              <w:left w:type="dxa" w:w="100"/>
              <w:bottom w:type="dxa" w:w="80"/>
              <w:right w:type="dxa" w:w="100"/>
            </w:tcMar>
          </w:tcPr>
          <w:p>
            <w:r>
              <w:rPr>
                <w:b w:val="false"/>
                <w:bCs w:val="false"/>
                <w:sz w:val="20"/>
                <w:szCs w:val="20"/>
              </w:rPr>
              <w:t xml:space="preserve">_____________________________</w:t>
            </w:r>
          </w:p>
        </w:tc>
      </w:tr>
      <w:tr>
        <w:tc>
          <w:tcPr>
            <w:tcW w:type="dxa" w:w="4700"/>
            <w:tcMar>
              <w:top w:type="dxa" w:w="80"/>
              <w:left w:type="dxa" w:w="100"/>
              <w:bottom w:type="dxa" w:w="80"/>
              <w:right w:type="dxa" w:w="100"/>
            </w:tcMar>
          </w:tcPr>
          <w:p>
            <w:r>
              <w:rPr>
                <w:b w:val="false"/>
                <w:bCs w:val="false"/>
                <w:sz w:val="20"/>
                <w:szCs w:val="20"/>
              </w:rPr>
              <w:t xml:space="preserve">Statens legemiddelverk</w:t>
            </w:r>
          </w:p>
        </w:tc>
        <w:tc>
          <w:tcPr>
            <w:tcW w:type="dxa" w:w="4700"/>
            <w:tcMar>
              <w:top w:type="dxa" w:w="80"/>
              <w:left w:type="dxa" w:w="100"/>
              <w:bottom w:type="dxa" w:w="80"/>
              <w:right w:type="dxa" w:w="100"/>
            </w:tcMar>
          </w:tcPr>
          <w:p>
            <w:r>
              <w:rPr>
                <w:b w:val="false"/>
                <w:bCs w:val="false"/>
                <w:sz w:val="20"/>
                <w:szCs w:val="20"/>
              </w:rPr>
              <w:t xml:space="preserve">legemiddelverket.no / tlf. 22 89 77 00</w:t>
            </w:r>
          </w:p>
        </w:tc>
      </w:tr>
      <w:tr>
        <w:tc>
          <w:tcPr>
            <w:tcW w:type="dxa" w:w="4700"/>
            <w:tcMar>
              <w:top w:type="dxa" w:w="80"/>
              <w:left w:type="dxa" w:w="100"/>
              <w:bottom w:type="dxa" w:w="80"/>
              <w:right w:type="dxa" w:w="100"/>
            </w:tcMar>
          </w:tcPr>
          <w:p>
            <w:r>
              <w:rPr>
                <w:b w:val="false"/>
                <w:bCs w:val="false"/>
                <w:sz w:val="20"/>
                <w:szCs w:val="20"/>
              </w:rPr>
              <w:t xml:space="preserve">Giftinformasjonen (ved feilbruk/overdose)</w:t>
            </w:r>
          </w:p>
        </w:tc>
        <w:tc>
          <w:tcPr>
            <w:tcW w:type="dxa" w:w="4700"/>
            <w:tcMar>
              <w:top w:type="dxa" w:w="80"/>
              <w:left w:type="dxa" w:w="100"/>
              <w:bottom w:type="dxa" w:w="80"/>
              <w:right w:type="dxa" w:w="100"/>
            </w:tcMar>
          </w:tcPr>
          <w:p>
            <w:r>
              <w:rPr>
                <w:b w:val="false"/>
                <w:bCs w:val="false"/>
                <w:sz w:val="20"/>
                <w:szCs w:val="20"/>
              </w:rPr>
              <w:t xml:space="preserve">tlf. 22 59 13 00 (døgnope)</w:t>
            </w:r>
          </w:p>
        </w:tc>
      </w:tr>
    </w:tbl>
    <w:p>
      <w:pPr>
        <w:pageBreakBefore/>
      </w:pPr>
      <w:r>
        <w:br/>
        <w:t xml:space="preserve"/>
      </w:r>
    </w:p>
    <w:p>
      <w:pPr>
        <w:pStyle w:val="Heading1"/>
        <w:spacing w:after="160" w:before="320"/>
      </w:pPr>
      <w:r>
        <w:t xml:space="preserve">Vedlegg A — Avvikslogg for legemiddelsal</w:t>
      </w:r>
    </w:p>
    <w:p>
      <w:pPr>
        <w:spacing w:after="140"/>
      </w:pPr>
      <w:r>
        <w:t xml:space="preserve">Avvik knytte til sal av reseptfrie legemiddel loggførast her, i tillegg til/i staden for det generelle avvikssystemet.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700"/>
      </w:tblGrid>
      <w:tr>
        <w:trPr>
          <w:tblHeader/>
        </w:trPr>
        <w:tc>
          <w:tcPr>
            <w:tcW w:type="dxa" w:w="3000"/>
            <w:shd w:fill="1C1C19" w:val="clear"/>
            <w:tcMar>
              <w:top w:type="dxa" w:w="80"/>
              <w:left w:type="dxa" w:w="100"/>
              <w:bottom w:type="dxa" w:w="80"/>
              <w:right w:type="dxa" w:w="100"/>
            </w:tcMar>
          </w:tcPr>
          <w:p>
            <w:r>
              <w:rPr>
                <w:b/>
                <w:bCs/>
                <w:color w:val="FFFFFF"/>
                <w:sz w:val="20"/>
                <w:szCs w:val="20"/>
              </w:rPr>
              <w:t xml:space="preserve">Dato</w:t>
            </w:r>
          </w:p>
        </w:tc>
        <w:tc>
          <w:tcPr>
            <w:tcW w:type="dxa" w:w="3700"/>
            <w:shd w:fill="1C1C19" w:val="clear"/>
            <w:tcMar>
              <w:top w:type="dxa" w:w="80"/>
              <w:left w:type="dxa" w:w="100"/>
              <w:bottom w:type="dxa" w:w="80"/>
              <w:right w:type="dxa" w:w="100"/>
            </w:tcMar>
          </w:tcPr>
          <w:p>
            <w:r>
              <w:rPr>
                <w:b/>
                <w:bCs/>
                <w:color w:val="FFFFFF"/>
                <w:sz w:val="20"/>
                <w:szCs w:val="20"/>
              </w:rPr>
              <w:t xml:space="preserve">Kva skjedde</w:t>
            </w:r>
          </w:p>
        </w:tc>
        <w:tc>
          <w:tcPr>
            <w:tcW w:type="dxa" w:w="2700"/>
            <w:shd w:fill="1C1C19" w:val="clear"/>
            <w:tcMar>
              <w:top w:type="dxa" w:w="80"/>
              <w:left w:type="dxa" w:w="100"/>
              <w:bottom w:type="dxa" w:w="80"/>
              <w:right w:type="dxa" w:w="100"/>
            </w:tcMar>
          </w:tcPr>
          <w:p>
            <w:r>
              <w:rPr>
                <w:b/>
                <w:bCs/>
                <w:color w:val="FFFFFF"/>
                <w:sz w:val="20"/>
                <w:szCs w:val="20"/>
              </w:rPr>
              <w:t xml:space="preserve">Tiltak</w:t>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r>
        <w:tc>
          <w:tcPr>
            <w:tcW w:type="dxa" w:w="3000"/>
            <w:tcMar>
              <w:top w:type="dxa" w:w="80"/>
              <w:left w:type="dxa" w:w="100"/>
              <w:bottom w:type="dxa" w:w="80"/>
              <w:right w:type="dxa" w:w="100"/>
            </w:tcMar>
          </w:tcPr>
          <w:p>
            <w:r>
              <w:rPr>
                <w:b w:val="false"/>
                <w:bCs w:val="false"/>
                <w:sz w:val="20"/>
                <w:szCs w:val="20"/>
              </w:rPr>
              <w:t xml:space="preserve"/>
            </w:r>
          </w:p>
        </w:tc>
        <w:tc>
          <w:tcPr>
            <w:tcW w:type="dxa" w:w="3700"/>
            <w:tcMar>
              <w:top w:type="dxa" w:w="80"/>
              <w:left w:type="dxa" w:w="100"/>
              <w:bottom w:type="dxa" w:w="80"/>
              <w:right w:type="dxa" w:w="100"/>
            </w:tcMar>
          </w:tcPr>
          <w:p>
            <w:r>
              <w:rPr>
                <w:b w:val="false"/>
                <w:bCs w:val="false"/>
                <w:sz w:val="20"/>
                <w:szCs w:val="20"/>
              </w:rPr>
              <w:t xml:space="preserve"/>
            </w:r>
          </w:p>
        </w:tc>
        <w:tc>
          <w:tcPr>
            <w:tcW w:type="dxa" w:w="2700"/>
            <w:tcMar>
              <w:top w:type="dxa" w:w="80"/>
              <w:left w:type="dxa" w:w="100"/>
              <w:bottom w:type="dxa" w:w="80"/>
              <w:right w:type="dxa" w:w="100"/>
            </w:tcMar>
          </w:tcPr>
          <w:p>
            <w:r>
              <w:rPr>
                <w:b w:val="false"/>
                <w:bCs w:val="false"/>
                <w:sz w:val="20"/>
                <w:szCs w:val="20"/>
              </w:rPr>
              <w:t xml:space="preserve"/>
            </w:r>
          </w:p>
        </w:tc>
      </w:tr>
    </w:tbl>
    <w:p>
      <w:pPr>
        <w:spacing w:after="300"/>
      </w:pPr>
    </w:p>
    <w:p>
      <w:pPr>
        <w:pStyle w:val="Heading1"/>
        <w:spacing w:after="160" w:before="320"/>
      </w:pPr>
      <w:r>
        <w:t xml:space="preserve">Vedlegg B — Opplæringslogg</w:t>
      </w:r>
    </w:p>
    <w:p>
      <w:pPr>
        <w:spacing w:after="140"/>
      </w:pPr>
      <w:r>
        <w:t xml:space="preserve">Signaturliste for tilsette som har fått gjennomgang av rutinen for sal av legemiddel utan resept.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400"/>
      </w:tblGrid>
      <w:tr>
        <w:trPr>
          <w:tblHeader/>
        </w:trPr>
        <w:tc>
          <w:tcPr>
            <w:tcW w:type="dxa" w:w="2600"/>
            <w:shd w:fill="1C1C19" w:val="clear"/>
            <w:tcMar>
              <w:top w:type="dxa" w:w="80"/>
              <w:left w:type="dxa" w:w="100"/>
              <w:bottom w:type="dxa" w:w="80"/>
              <w:right w:type="dxa" w:w="100"/>
            </w:tcMar>
          </w:tcPr>
          <w:p>
            <w:r>
              <w:rPr>
                <w:b/>
                <w:bCs/>
                <w:color w:val="FFFFFF"/>
                <w:sz w:val="20"/>
                <w:szCs w:val="20"/>
              </w:rPr>
              <w:t xml:space="preserve">Namn</w:t>
            </w:r>
          </w:p>
        </w:tc>
        <w:tc>
          <w:tcPr>
            <w:tcW w:type="dxa" w:w="2200"/>
            <w:shd w:fill="1C1C19" w:val="clear"/>
            <w:tcMar>
              <w:top w:type="dxa" w:w="80"/>
              <w:left w:type="dxa" w:w="100"/>
              <w:bottom w:type="dxa" w:w="80"/>
              <w:right w:type="dxa" w:w="100"/>
            </w:tcMar>
          </w:tcPr>
          <w:p>
            <w:r>
              <w:rPr>
                <w:b/>
                <w:bCs/>
                <w:color w:val="FFFFFF"/>
                <w:sz w:val="20"/>
                <w:szCs w:val="20"/>
              </w:rPr>
              <w:t xml:space="preserve">Dato for opplæring</w:t>
            </w:r>
          </w:p>
        </w:tc>
        <w:tc>
          <w:tcPr>
            <w:tcW w:type="dxa" w:w="2200"/>
            <w:shd w:fill="1C1C19" w:val="clear"/>
            <w:tcMar>
              <w:top w:type="dxa" w:w="80"/>
              <w:left w:type="dxa" w:w="100"/>
              <w:bottom w:type="dxa" w:w="80"/>
              <w:right w:type="dxa" w:w="100"/>
            </w:tcMar>
          </w:tcPr>
          <w:p>
            <w:r>
              <w:rPr>
                <w:b/>
                <w:bCs/>
                <w:color w:val="FFFFFF"/>
                <w:sz w:val="20"/>
                <w:szCs w:val="20"/>
              </w:rPr>
              <w:t xml:space="preserve">Gjennomgått av</w:t>
            </w:r>
          </w:p>
        </w:tc>
        <w:tc>
          <w:tcPr>
            <w:tcW w:type="dxa" w:w="2400"/>
            <w:shd w:fill="1C1C19" w:val="clear"/>
            <w:tcMar>
              <w:top w:type="dxa" w:w="80"/>
              <w:left w:type="dxa" w:w="100"/>
              <w:bottom w:type="dxa" w:w="80"/>
              <w:right w:type="dxa" w:w="100"/>
            </w:tcMar>
          </w:tcPr>
          <w:p>
            <w:r>
              <w:rPr>
                <w:b/>
                <w:bCs/>
                <w:color w:val="FFFFFF"/>
                <w:sz w:val="20"/>
                <w:szCs w:val="20"/>
              </w:rPr>
              <w:t xml:space="preserve">Signatur</w:t>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200"/>
            <w:tcMar>
              <w:top w:type="dxa" w:w="80"/>
              <w:left w:type="dxa" w:w="100"/>
              <w:bottom w:type="dxa" w:w="80"/>
              <w:right w:type="dxa" w:w="100"/>
            </w:tcMar>
          </w:tcPr>
          <w:p>
            <w:r>
              <w:rPr>
                <w:b w:val="false"/>
                <w:bCs w:val="false"/>
                <w:sz w:val="20"/>
                <w:szCs w:val="20"/>
              </w:rPr>
              <w:t xml:space="preserve"/>
            </w:r>
          </w:p>
        </w:tc>
        <w:tc>
          <w:tcPr>
            <w:tcW w:type="dxa" w:w="2400"/>
            <w:tcMar>
              <w:top w:type="dxa" w:w="80"/>
              <w:left w:type="dxa" w:w="100"/>
              <w:bottom w:type="dxa" w:w="80"/>
              <w:right w:type="dxa" w:w="100"/>
            </w:tcMar>
          </w:tcPr>
          <w:p>
            <w:r>
              <w:rPr>
                <w:b w:val="false"/>
                <w:bCs w:val="false"/>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2026-08-21T08:57:28.474Z</dcterms:created>
  <dcterms:modified xsi:type="dcterms:W3CDTF">2026-08-21T08:57:28.486Z</dcterms:modified>
</cp:coreProperties>
</file>

<file path=docProps/custom.xml><?xml version="1.0" encoding="utf-8"?>
<Properties xmlns="http://schemas.openxmlformats.org/officeDocument/2006/custom-properties" xmlns:vt="http://schemas.openxmlformats.org/officeDocument/2006/docPropsVTypes"/>
</file>