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454" w:rsidRDefault="00232454" w:rsidP="00232454">
      <w:pPr>
        <w:pStyle w:val="Title"/>
        <w:jc w:val="left"/>
      </w:pPr>
      <w:r w:rsidRPr="00447AD1">
        <w:rPr>
          <w:noProof/>
        </w:rPr>
        <w:drawing>
          <wp:inline distT="0" distB="0" distL="0" distR="0" wp14:anchorId="507BFC3F" wp14:editId="3F88EA82">
            <wp:extent cx="1396780"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6780" cy="731520"/>
                    </a:xfrm>
                    <a:prstGeom prst="rect">
                      <a:avLst/>
                    </a:prstGeom>
                  </pic:spPr>
                </pic:pic>
              </a:graphicData>
            </a:graphic>
          </wp:inline>
        </w:drawing>
      </w:r>
    </w:p>
    <w:p w:rsidR="00232454" w:rsidRPr="005175FE" w:rsidRDefault="007E0FF5" w:rsidP="005175FE">
      <w:pPr>
        <w:pStyle w:val="Title"/>
        <w:jc w:val="left"/>
      </w:pPr>
      <w:r w:rsidRPr="00232454">
        <w:t xml:space="preserve">Preliminary </w:t>
      </w:r>
      <w:r w:rsidR="005175FE">
        <w:t xml:space="preserve">HIV </w:t>
      </w:r>
      <w:r w:rsidRPr="00232454">
        <w:t>Analysis</w:t>
      </w:r>
      <w:bookmarkStart w:id="0" w:name="mortality-analysis-for-the-period-2003-t"/>
      <w:bookmarkEnd w:id="0"/>
    </w:p>
    <w:p w:rsidR="0043315B" w:rsidRDefault="00232454" w:rsidP="00232454">
      <w:pPr>
        <w:pStyle w:val="Heading2"/>
        <w:rPr>
          <w:sz w:val="28"/>
        </w:rPr>
      </w:pPr>
      <w:r w:rsidRPr="00232454">
        <w:rPr>
          <w:sz w:val="28"/>
        </w:rPr>
        <w:t>Number of deaths of HIV</w:t>
      </w:r>
      <w:r w:rsidR="007E0FF5" w:rsidRPr="00232454">
        <w:rPr>
          <w:sz w:val="28"/>
        </w:rPr>
        <w:t xml:space="preserve"> for the period 2003 to 2014</w:t>
      </w:r>
    </w:p>
    <w:p w:rsidR="0096531D" w:rsidRPr="0096531D" w:rsidRDefault="0096531D" w:rsidP="0096531D">
      <w:pPr>
        <w:pStyle w:val="Heading4"/>
        <w:rPr>
          <w:b w:val="0"/>
          <w:i/>
        </w:rPr>
      </w:pPr>
      <w:r w:rsidRPr="0096531D">
        <w:rPr>
          <w:b w:val="0"/>
          <w:i/>
        </w:rPr>
        <w:t>Overall</w:t>
      </w:r>
    </w:p>
    <w:p w:rsidR="00A437E4" w:rsidRDefault="005175FE" w:rsidP="00A437E4">
      <w:pPr>
        <w:keepNext/>
        <w:ind w:firstLine="720"/>
      </w:pPr>
      <w:bookmarkStart w:id="1" w:name="hiv-mortality-analysis"/>
      <w:bookmarkEnd w:id="1"/>
      <w:r>
        <w:t>In order to explore the trend in</w:t>
      </w:r>
      <w:r w:rsidR="00A437E4" w:rsidRPr="00A437E4">
        <w:t xml:space="preserve"> deaths of HIV in Puerto Rico, we conducted a crude analysis using the data from the HIV Surveillance System that contain the deceases for the period 2003 to 2014. The trend in HIV deaths can be seeing in </w:t>
      </w:r>
      <w:r w:rsidR="0043352D">
        <w:fldChar w:fldCharType="begin"/>
      </w:r>
      <w:r w:rsidR="0043352D">
        <w:instrText xml:space="preserve"> REF _Ref433815288 \h </w:instrText>
      </w:r>
      <w:r w:rsidR="0043352D">
        <w:fldChar w:fldCharType="separate"/>
      </w:r>
      <w:r w:rsidR="00644B76">
        <w:t xml:space="preserve">Figure </w:t>
      </w:r>
      <w:r w:rsidR="00644B76">
        <w:rPr>
          <w:noProof/>
        </w:rPr>
        <w:t>1</w:t>
      </w:r>
      <w:r w:rsidR="0043352D">
        <w:fldChar w:fldCharType="end"/>
      </w:r>
      <w:r w:rsidR="00A437E4" w:rsidRPr="00A437E4">
        <w:t>:</w:t>
      </w:r>
    </w:p>
    <w:p w:rsidR="005175FE" w:rsidRDefault="007E0FF5" w:rsidP="005175FE">
      <w:pPr>
        <w:keepNext/>
        <w:ind w:firstLine="720"/>
      </w:pPr>
      <w:r>
        <w:br/>
      </w:r>
      <w:r w:rsidR="0046419E">
        <w:rPr>
          <w:noProof/>
        </w:rPr>
        <w:drawing>
          <wp:inline distT="0" distB="0" distL="0" distR="0" wp14:anchorId="296D0A8C" wp14:editId="7619CE6C">
            <wp:extent cx="5852160" cy="310896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32454" w:rsidRDefault="00232454" w:rsidP="00232454">
      <w:pPr>
        <w:pStyle w:val="Caption"/>
      </w:pPr>
      <w:bookmarkStart w:id="2" w:name="_Ref433815288"/>
      <w:r>
        <w:t xml:space="preserve">Figure </w:t>
      </w:r>
      <w:fldSimple w:instr=" SEQ Figure \* ARABIC ">
        <w:r w:rsidR="00644B76">
          <w:rPr>
            <w:noProof/>
          </w:rPr>
          <w:t>1</w:t>
        </w:r>
      </w:fldSimple>
      <w:bookmarkEnd w:id="2"/>
      <w:r>
        <w:t xml:space="preserve">: Trend in Number of </w:t>
      </w:r>
      <w:r w:rsidR="00A06091">
        <w:t xml:space="preserve">HIV </w:t>
      </w:r>
      <w:r>
        <w:t>Deaths Overall</w:t>
      </w:r>
    </w:p>
    <w:p w:rsidR="005175FE" w:rsidRPr="005175FE" w:rsidRDefault="005175FE" w:rsidP="005175FE"/>
    <w:p w:rsidR="00C26244" w:rsidRDefault="0043352D" w:rsidP="00A437E4">
      <w:pPr>
        <w:ind w:firstLine="720"/>
      </w:pPr>
      <w:r>
        <w:fldChar w:fldCharType="begin"/>
      </w:r>
      <w:r>
        <w:instrText xml:space="preserve"> REF _Ref433815288 \h </w:instrText>
      </w:r>
      <w:r>
        <w:fldChar w:fldCharType="separate"/>
      </w:r>
      <w:r w:rsidR="00644B76">
        <w:t xml:space="preserve">Figure </w:t>
      </w:r>
      <w:r w:rsidR="00644B76">
        <w:rPr>
          <w:noProof/>
        </w:rPr>
        <w:t>1</w:t>
      </w:r>
      <w:r>
        <w:fldChar w:fldCharType="end"/>
      </w:r>
      <w:r>
        <w:t xml:space="preserve"> </w:t>
      </w:r>
      <w:r w:rsidR="00A437E4">
        <w:t xml:space="preserve">shows a decreasing </w:t>
      </w:r>
      <w:r w:rsidR="005175FE">
        <w:t>trend in the number of deaths for</w:t>
      </w:r>
      <w:r w:rsidR="00A437E4" w:rsidRPr="00A437E4">
        <w:t xml:space="preserve"> about 4.6% (10.0% in 2003 compared with 5.6%</w:t>
      </w:r>
      <w:r w:rsidR="00A437E4">
        <w:t xml:space="preserve"> in 2014) in Puerto Rico. </w:t>
      </w:r>
      <w:r w:rsidR="00C26244">
        <w:t xml:space="preserve">We explored the number of deaths </w:t>
      </w:r>
      <w:r w:rsidR="00C26244">
        <w:t xml:space="preserve">using the JoinPoint Software from </w:t>
      </w:r>
      <w:r w:rsidR="00E35A4E">
        <w:t>SEER.</w:t>
      </w:r>
      <w:r w:rsidR="00C26244">
        <w:t xml:space="preserve"> The results were: </w:t>
      </w:r>
    </w:p>
    <w:p w:rsidR="00C26244" w:rsidRDefault="00C26244" w:rsidP="00C26244">
      <w:pPr>
        <w:keepNext/>
      </w:pPr>
      <w:r w:rsidRPr="004B5A7F">
        <w:rPr>
          <w:b/>
          <w:noProof/>
          <w:sz w:val="28"/>
        </w:rPr>
        <w:lastRenderedPageBreak/>
        <w:drawing>
          <wp:inline distT="0" distB="0" distL="0" distR="0" wp14:anchorId="54FD705E" wp14:editId="19CCB738">
            <wp:extent cx="5852160" cy="3119488"/>
            <wp:effectExtent l="0" t="0" r="0" b="0"/>
            <wp:docPr id="7" name="Picture 7" descr="C:\Users\mmachin\Desktop\Git\proptest\joinDeat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machin\Desktop\Git\proptest\joinDeath.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3119488"/>
                    </a:xfrm>
                    <a:prstGeom prst="rect">
                      <a:avLst/>
                    </a:prstGeom>
                    <a:noFill/>
                    <a:ln>
                      <a:noFill/>
                    </a:ln>
                  </pic:spPr>
                </pic:pic>
              </a:graphicData>
            </a:graphic>
          </wp:inline>
        </w:drawing>
      </w:r>
    </w:p>
    <w:p w:rsidR="00C26244" w:rsidRDefault="00C26244" w:rsidP="00C26244">
      <w:pPr>
        <w:pStyle w:val="Caption"/>
      </w:pPr>
      <w:bookmarkStart w:id="3" w:name="_Ref433960009"/>
      <w:bookmarkStart w:id="4" w:name="_Ref433960025"/>
      <w:r>
        <w:t xml:space="preserve">Figure </w:t>
      </w:r>
      <w:fldSimple w:instr=" SEQ Figure \* ARABIC ">
        <w:r w:rsidR="00644B76">
          <w:rPr>
            <w:noProof/>
          </w:rPr>
          <w:t>2</w:t>
        </w:r>
      </w:fldSimple>
      <w:bookmarkEnd w:id="4"/>
      <w:r>
        <w:t>: Number of HIV Deahts Overall (JoinPoint)</w:t>
      </w:r>
      <w:bookmarkEnd w:id="3"/>
    </w:p>
    <w:p w:rsidR="00A437E4" w:rsidRDefault="007E5A81" w:rsidP="00A437E4">
      <w:pPr>
        <w:ind w:firstLine="720"/>
      </w:pPr>
      <w:r>
        <w:t>According to the Join</w:t>
      </w:r>
      <w:r w:rsidR="00C26244">
        <w:t xml:space="preserve"> </w:t>
      </w:r>
      <w:r>
        <w:t>Point Software, a statistical significant decreasing trend in number of HIV deaths is observed for the period 2005-2011 (</w:t>
      </w:r>
      <w:r>
        <w:fldChar w:fldCharType="begin"/>
      </w:r>
      <w:r>
        <w:instrText xml:space="preserve"> REF _Ref433960025 \h </w:instrText>
      </w:r>
      <w:r>
        <w:fldChar w:fldCharType="separate"/>
      </w:r>
      <w:r w:rsidR="00644B76">
        <w:t xml:space="preserve">Figure </w:t>
      </w:r>
      <w:r w:rsidR="00644B76">
        <w:rPr>
          <w:noProof/>
        </w:rPr>
        <w:t>2</w:t>
      </w:r>
      <w:r>
        <w:fldChar w:fldCharType="end"/>
      </w:r>
      <w:r>
        <w:t xml:space="preserve">).  </w:t>
      </w:r>
      <w:r w:rsidR="00A437E4">
        <w:t>W</w:t>
      </w:r>
      <w:r w:rsidR="00A437E4" w:rsidRPr="00A437E4">
        <w:t>e proceeded to calcula</w:t>
      </w:r>
      <w:r w:rsidR="00A66AD4">
        <w:t>te the percent change for different periods</w:t>
      </w:r>
      <w:r w:rsidR="00A437E4" w:rsidRPr="00A437E4">
        <w:t xml:space="preserve"> </w:t>
      </w:r>
      <w:r w:rsidR="00A66AD4">
        <w:t>usin</w:t>
      </w:r>
      <w:r w:rsidR="00A437E4" w:rsidRPr="00A437E4">
        <w:t xml:space="preserve">g a mathematical model from CDC. The formula is as follows: </w:t>
      </w:r>
    </w:p>
    <w:p w:rsidR="00C26244" w:rsidRDefault="00C26244" w:rsidP="00A437E4">
      <w:pPr>
        <w:ind w:firstLine="720"/>
      </w:pPr>
    </w:p>
    <w:p w:rsidR="00A437E4" w:rsidRPr="00A437E4" w:rsidRDefault="00A437E4" w:rsidP="00A437E4">
      <w:pPr>
        <w:ind w:firstLine="720"/>
        <w:rPr>
          <w:rFonts w:eastAsiaTheme="minorEastAsia"/>
        </w:rPr>
      </w:pPr>
      <m:oMathPara>
        <m:oMathParaPr>
          <m:jc m:val="center"/>
        </m:oMathParaPr>
        <m:oMath>
          <m:r>
            <w:rPr>
              <w:rFonts w:ascii="Cambria Math" w:hAnsi="Cambria Math"/>
            </w:rPr>
            <m:t>Pc</m:t>
          </m:r>
          <m:r>
            <m:rPr>
              <m:sty m:val="p"/>
            </m:rPr>
            <w:rPr>
              <w:rFonts w:ascii="Cambria Math" w:hAnsi="Cambria Math"/>
            </w:rPr>
            <m:t xml:space="preserve">= </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r>
                        <w:rPr>
                          <w:rFonts w:ascii="Cambria Math" w:hAnsi="Cambria Math"/>
                        </w:rPr>
                        <m:t>Deaths</m:t>
                      </m:r>
                    </m:e>
                    <m:sub>
                      <m:r>
                        <w:rPr>
                          <w:rFonts w:ascii="Cambria Math" w:hAnsi="Cambria Math"/>
                        </w:rPr>
                        <m:t>x</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t>
                      </m:r>
                      <m:r>
                        <w:rPr>
                          <w:rFonts w:ascii="Cambria Math" w:hAnsi="Cambria Math"/>
                        </w:rPr>
                        <m:t>Deaths</m:t>
                      </m:r>
                    </m:e>
                    <m:sub>
                      <m:r>
                        <w:rPr>
                          <w:rFonts w:ascii="Cambria Math" w:hAnsi="Cambria Math"/>
                        </w:rPr>
                        <m:t>x</m:t>
                      </m:r>
                      <m:r>
                        <m:rPr>
                          <m:sty m:val="p"/>
                        </m:rPr>
                        <w:rPr>
                          <w:rFonts w:ascii="Cambria Math" w:hAnsi="Cambria Math"/>
                        </w:rPr>
                        <m:t>-1</m:t>
                      </m:r>
                    </m:sub>
                  </m:sSub>
                </m:e>
              </m:d>
            </m:num>
            <m:den>
              <m:sSub>
                <m:sSubPr>
                  <m:ctrlPr>
                    <w:rPr>
                      <w:rFonts w:ascii="Cambria Math" w:hAnsi="Cambria Math"/>
                    </w:rPr>
                  </m:ctrlPr>
                </m:sSubPr>
                <m:e>
                  <m:r>
                    <m:rPr>
                      <m:sty m:val="p"/>
                    </m:rPr>
                    <w:rPr>
                      <w:rFonts w:ascii="Cambria Math" w:hAnsi="Cambria Math"/>
                    </w:rPr>
                    <m:t>#</m:t>
                  </m:r>
                  <m:r>
                    <w:rPr>
                      <w:rFonts w:ascii="Cambria Math" w:hAnsi="Cambria Math"/>
                    </w:rPr>
                    <m:t>Deaths</m:t>
                  </m:r>
                </m:e>
                <m:sub>
                  <m:r>
                    <w:rPr>
                      <w:rFonts w:ascii="Cambria Math" w:hAnsi="Cambria Math"/>
                    </w:rPr>
                    <m:t>x</m:t>
                  </m:r>
                  <m:r>
                    <m:rPr>
                      <m:sty m:val="p"/>
                    </m:rPr>
                    <w:rPr>
                      <w:rFonts w:ascii="Cambria Math" w:hAnsi="Cambria Math"/>
                    </w:rPr>
                    <m:t>-1</m:t>
                  </m:r>
                </m:sub>
              </m:sSub>
            </m:den>
          </m:f>
        </m:oMath>
      </m:oMathPara>
    </w:p>
    <w:p w:rsidR="00A437E4" w:rsidRDefault="00A437E4" w:rsidP="00A437E4">
      <w:pPr>
        <w:spacing w:line="360" w:lineRule="auto"/>
        <w:jc w:val="both"/>
      </w:pPr>
      <w:r>
        <w:t>where “</w:t>
      </w:r>
      <w:r w:rsidRPr="00D201FF">
        <w:rPr>
          <w:b/>
        </w:rPr>
        <w:t>x</w:t>
      </w:r>
      <w:r>
        <w:t>” represents the</w:t>
      </w:r>
      <w:r w:rsidR="00A66AD4">
        <w:t xml:space="preserve"> latest year in the period of interest</w:t>
      </w:r>
      <w:r>
        <w:t xml:space="preserve">. </w:t>
      </w:r>
    </w:p>
    <w:p w:rsidR="00974AD8" w:rsidRDefault="000E54B4" w:rsidP="005175FE">
      <w:pPr>
        <w:ind w:firstLine="720"/>
        <w:rPr>
          <w:rFonts w:eastAsiaTheme="minorEastAsia"/>
        </w:rPr>
      </w:pPr>
      <w:r>
        <w:rPr>
          <w:rFonts w:eastAsiaTheme="minorEastAsia"/>
        </w:rPr>
        <w:t>The calculated</w:t>
      </w:r>
      <w:r w:rsidR="00A437E4" w:rsidRPr="00A437E4">
        <w:rPr>
          <w:rFonts w:eastAsiaTheme="minorEastAsia"/>
        </w:rPr>
        <w:t xml:space="preserve"> percent changes are in the following table:</w:t>
      </w:r>
    </w:p>
    <w:p w:rsidR="00974AD8" w:rsidRDefault="00974AD8" w:rsidP="00974AD8">
      <w:pPr>
        <w:pStyle w:val="Caption"/>
        <w:keepNext/>
      </w:pPr>
      <w:bookmarkStart w:id="5" w:name="_Ref433815242"/>
      <w:r>
        <w:t xml:space="preserve">Table </w:t>
      </w:r>
      <w:fldSimple w:instr=" SEQ Table \* ARABIC ">
        <w:r w:rsidR="00644B76">
          <w:rPr>
            <w:noProof/>
          </w:rPr>
          <w:t>1</w:t>
        </w:r>
      </w:fldSimple>
      <w:bookmarkEnd w:id="5"/>
      <w:r>
        <w:t>: Overall Percent Changes</w:t>
      </w:r>
    </w:p>
    <w:tbl>
      <w:tblPr>
        <w:tblStyle w:val="PlainTable1"/>
        <w:tblW w:w="0" w:type="auto"/>
        <w:tblInd w:w="108" w:type="dxa"/>
        <w:tblLook w:val="04A0" w:firstRow="1" w:lastRow="0" w:firstColumn="1" w:lastColumn="0" w:noHBand="0" w:noVBand="1"/>
      </w:tblPr>
      <w:tblGrid>
        <w:gridCol w:w="1260"/>
        <w:gridCol w:w="2070"/>
      </w:tblGrid>
      <w:tr w:rsidR="00331EB7" w:rsidRPr="00331EB7" w:rsidTr="007E5A8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rsidR="00331EB7" w:rsidRPr="00331EB7" w:rsidRDefault="00331EB7" w:rsidP="00331EB7">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Years</w:t>
            </w:r>
          </w:p>
        </w:tc>
        <w:tc>
          <w:tcPr>
            <w:tcW w:w="2070" w:type="dxa"/>
            <w:noWrap/>
            <w:hideMark/>
          </w:tcPr>
          <w:p w:rsidR="00331EB7" w:rsidRPr="00331EB7" w:rsidRDefault="00331EB7" w:rsidP="00331EB7">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Percent </w:t>
            </w:r>
            <w:r w:rsidRPr="00331EB7">
              <w:rPr>
                <w:rFonts w:ascii="Calibri" w:eastAsia="Times New Roman" w:hAnsi="Calibri" w:cs="Times New Roman"/>
                <w:color w:val="000000"/>
                <w:sz w:val="22"/>
                <w:szCs w:val="22"/>
              </w:rPr>
              <w:t>Change</w:t>
            </w:r>
            <w:r w:rsidR="007E5A81">
              <w:rPr>
                <w:rFonts w:ascii="Calibri" w:eastAsia="Times New Roman" w:hAnsi="Calibri" w:cs="Times New Roman"/>
                <w:color w:val="000000"/>
                <w:sz w:val="22"/>
                <w:szCs w:val="22"/>
              </w:rPr>
              <w:t xml:space="preserve"> (%)</w:t>
            </w:r>
          </w:p>
        </w:tc>
      </w:tr>
      <w:tr w:rsidR="00331EB7" w:rsidRPr="00331EB7" w:rsidTr="007E5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rsidR="00331EB7" w:rsidRPr="00331EB7" w:rsidRDefault="007E5A81" w:rsidP="00331EB7">
            <w:pPr>
              <w:spacing w:before="0"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2003-2005</w:t>
            </w:r>
          </w:p>
        </w:tc>
        <w:tc>
          <w:tcPr>
            <w:tcW w:w="2070" w:type="dxa"/>
            <w:noWrap/>
            <w:hideMark/>
          </w:tcPr>
          <w:p w:rsidR="00331EB7" w:rsidRPr="00331EB7" w:rsidRDefault="007E5A81" w:rsidP="00331EB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9.55</w:t>
            </w:r>
          </w:p>
        </w:tc>
      </w:tr>
      <w:tr w:rsidR="00331EB7" w:rsidRPr="00331EB7" w:rsidTr="007E5A81">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rsidR="00331EB7" w:rsidRPr="00331EB7" w:rsidRDefault="007E5A81" w:rsidP="00331EB7">
            <w:pPr>
              <w:spacing w:before="0"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2006-2008</w:t>
            </w:r>
          </w:p>
        </w:tc>
        <w:tc>
          <w:tcPr>
            <w:tcW w:w="2070" w:type="dxa"/>
            <w:noWrap/>
            <w:hideMark/>
          </w:tcPr>
          <w:p w:rsidR="00331EB7" w:rsidRPr="00331EB7" w:rsidRDefault="007E5A81" w:rsidP="00331EB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11.15</w:t>
            </w:r>
          </w:p>
        </w:tc>
      </w:tr>
      <w:tr w:rsidR="00331EB7" w:rsidRPr="00331EB7" w:rsidTr="007E5A8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rsidR="00331EB7" w:rsidRPr="00331EB7" w:rsidRDefault="007E5A81" w:rsidP="00331EB7">
            <w:pPr>
              <w:spacing w:before="0"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2009-2011</w:t>
            </w:r>
          </w:p>
        </w:tc>
        <w:tc>
          <w:tcPr>
            <w:tcW w:w="2070" w:type="dxa"/>
            <w:noWrap/>
            <w:hideMark/>
          </w:tcPr>
          <w:p w:rsidR="00331EB7" w:rsidRPr="00331EB7" w:rsidRDefault="007E5A81" w:rsidP="00331EB7">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14.56</w:t>
            </w:r>
          </w:p>
        </w:tc>
      </w:tr>
      <w:tr w:rsidR="00331EB7" w:rsidRPr="00331EB7" w:rsidTr="007E5A81">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rsidR="00331EB7" w:rsidRPr="00331EB7" w:rsidRDefault="007E5A81" w:rsidP="00331EB7">
            <w:pPr>
              <w:spacing w:before="0"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2012-2014</w:t>
            </w:r>
          </w:p>
        </w:tc>
        <w:tc>
          <w:tcPr>
            <w:tcW w:w="2070" w:type="dxa"/>
            <w:noWrap/>
            <w:hideMark/>
          </w:tcPr>
          <w:p w:rsidR="00331EB7" w:rsidRPr="00331EB7" w:rsidRDefault="007E5A81" w:rsidP="00331EB7">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12.73</w:t>
            </w:r>
          </w:p>
        </w:tc>
      </w:tr>
    </w:tbl>
    <w:p w:rsidR="007E5A81" w:rsidRDefault="007E5A81" w:rsidP="00974AD8">
      <w:pPr>
        <w:ind w:firstLine="720"/>
      </w:pPr>
    </w:p>
    <w:p w:rsidR="00974AD8" w:rsidRDefault="0096531D" w:rsidP="00974AD8">
      <w:pPr>
        <w:ind w:firstLine="720"/>
      </w:pPr>
      <w:r>
        <w:t xml:space="preserve">It is </w:t>
      </w:r>
      <w:r w:rsidRPr="004457B0">
        <w:rPr>
          <w:b/>
        </w:rPr>
        <w:t>important</w:t>
      </w:r>
      <w:r>
        <w:t xml:space="preserve"> to point out that these percent changes </w:t>
      </w:r>
      <w:r w:rsidR="0043352D">
        <w:t xml:space="preserve">in </w:t>
      </w:r>
      <w:r w:rsidR="00C26244">
        <w:fldChar w:fldCharType="begin"/>
      </w:r>
      <w:r w:rsidR="00C26244">
        <w:instrText xml:space="preserve"> REF _Ref433815242 \h </w:instrText>
      </w:r>
      <w:r w:rsidR="00C26244">
        <w:fldChar w:fldCharType="separate"/>
      </w:r>
      <w:r w:rsidR="00644B76">
        <w:t xml:space="preserve">Table </w:t>
      </w:r>
      <w:r w:rsidR="00644B76">
        <w:rPr>
          <w:noProof/>
        </w:rPr>
        <w:t>1</w:t>
      </w:r>
      <w:r w:rsidR="00C26244">
        <w:fldChar w:fldCharType="end"/>
      </w:r>
      <w:r w:rsidR="00C26244">
        <w:t xml:space="preserve"> </w:t>
      </w:r>
      <w:r>
        <w:t>are in absolute v</w:t>
      </w:r>
      <w:r w:rsidR="0056130F">
        <w:t>alues which mean that they do not</w:t>
      </w:r>
      <w:r>
        <w:t xml:space="preserve"> specify the direction of the changes, only their magnitude. </w:t>
      </w:r>
      <w:r w:rsidR="00E872E7">
        <w:t>In order to v</w:t>
      </w:r>
      <w:r w:rsidR="00974AD8" w:rsidRPr="00974AD8">
        <w:t>erify whether there was a statistical significant difference in the percent changes across the period</w:t>
      </w:r>
      <w:r w:rsidR="00E872E7">
        <w:t>, we used a Poisson model</w:t>
      </w:r>
      <w:r w:rsidR="00974AD8" w:rsidRPr="00974AD8">
        <w:t>:</w:t>
      </w:r>
      <w:r w:rsidR="00974AD8">
        <w:t xml:space="preserve"> </w:t>
      </w:r>
    </w:p>
    <w:p w:rsidR="003240F2" w:rsidRDefault="003240F2" w:rsidP="00974AD8">
      <w:pPr>
        <w:ind w:firstLine="720"/>
      </w:pPr>
    </w:p>
    <w:p w:rsidR="00A2561F" w:rsidRDefault="00974AD8" w:rsidP="00A2561F">
      <w:pPr>
        <w:keepNext/>
      </w:pPr>
      <w:r w:rsidRPr="00974AD8">
        <w:rPr>
          <w:noProof/>
        </w:rPr>
        <w:drawing>
          <wp:inline distT="0" distB="0" distL="0" distR="0" wp14:anchorId="134DCA11" wp14:editId="2A4DAFD1">
            <wp:extent cx="5852713" cy="3017520"/>
            <wp:effectExtent l="0" t="0" r="0" b="0"/>
            <wp:docPr id="11" name="Picture 11" descr="C:\Users\scanner\Desktop\Git\proptest\poisson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anner\Desktop\Git\proptest\poissonover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713" cy="3017520"/>
                    </a:xfrm>
                    <a:prstGeom prst="rect">
                      <a:avLst/>
                    </a:prstGeom>
                    <a:noFill/>
                    <a:ln>
                      <a:noFill/>
                    </a:ln>
                  </pic:spPr>
                </pic:pic>
              </a:graphicData>
            </a:graphic>
          </wp:inline>
        </w:drawing>
      </w:r>
    </w:p>
    <w:p w:rsidR="00974AD8" w:rsidRDefault="00A2561F" w:rsidP="00A2561F">
      <w:pPr>
        <w:pStyle w:val="Caption"/>
      </w:pPr>
      <w:bookmarkStart w:id="6" w:name="_Ref433879425"/>
      <w:r>
        <w:t xml:space="preserve">Figure </w:t>
      </w:r>
      <w:r w:rsidR="00782F87">
        <w:fldChar w:fldCharType="begin"/>
      </w:r>
      <w:r w:rsidR="00782F87">
        <w:instrText xml:space="preserve"> SEQ Figure \* ARABIC </w:instrText>
      </w:r>
      <w:r w:rsidR="00782F87">
        <w:fldChar w:fldCharType="separate"/>
      </w:r>
      <w:r w:rsidR="00644B76">
        <w:rPr>
          <w:noProof/>
        </w:rPr>
        <w:t>3</w:t>
      </w:r>
      <w:r w:rsidR="00782F87">
        <w:rPr>
          <w:noProof/>
        </w:rPr>
        <w:fldChar w:fldCharType="end"/>
      </w:r>
      <w:bookmarkEnd w:id="6"/>
      <w:r>
        <w:t>: Poisson Model for Overall Percent Change</w:t>
      </w:r>
    </w:p>
    <w:p w:rsidR="005175FE" w:rsidRDefault="005175FE" w:rsidP="00974AD8"/>
    <w:p w:rsidR="00974AD8" w:rsidRDefault="00974AD8" w:rsidP="00C26244">
      <w:pPr>
        <w:ind w:firstLine="720"/>
      </w:pPr>
      <w:r w:rsidRPr="00974AD8">
        <w:t xml:space="preserve">The </w:t>
      </w:r>
      <w:r w:rsidR="00932CA2">
        <w:t xml:space="preserve">Poisson </w:t>
      </w:r>
      <w:r w:rsidRPr="00974AD8">
        <w:t xml:space="preserve">model </w:t>
      </w:r>
      <w:r w:rsidR="00A2561F">
        <w:t>(</w:t>
      </w:r>
      <w:r w:rsidR="00A2561F">
        <w:fldChar w:fldCharType="begin"/>
      </w:r>
      <w:r w:rsidR="00A2561F">
        <w:instrText xml:space="preserve"> REF _Ref433879425 \h </w:instrText>
      </w:r>
      <w:r w:rsidR="00A2561F">
        <w:fldChar w:fldCharType="separate"/>
      </w:r>
      <w:r w:rsidR="00644B76">
        <w:t xml:space="preserve">Figure </w:t>
      </w:r>
      <w:r w:rsidR="00644B76">
        <w:rPr>
          <w:noProof/>
        </w:rPr>
        <w:t>3</w:t>
      </w:r>
      <w:r w:rsidR="00A2561F">
        <w:fldChar w:fldCharType="end"/>
      </w:r>
      <w:r w:rsidR="00A2561F">
        <w:t xml:space="preserve">) </w:t>
      </w:r>
      <w:r w:rsidRPr="00974AD8">
        <w:t>shows a statistical significant difference between the percent ch</w:t>
      </w:r>
      <w:r w:rsidR="00A66AD4">
        <w:t>anges for the peri</w:t>
      </w:r>
      <w:r w:rsidR="00785794">
        <w:t>od of study, which goes according with the result from JoinPoint Software</w:t>
      </w:r>
      <w:r w:rsidR="00A66AD4">
        <w:t xml:space="preserve"> </w:t>
      </w:r>
      <w:r w:rsidR="005175FE">
        <w:t>(</w:t>
      </w:r>
      <w:r w:rsidRPr="00974AD8">
        <w:t>p-value = 0.003).</w:t>
      </w:r>
      <w:r w:rsidR="00C26244">
        <w:t xml:space="preserve"> </w:t>
      </w:r>
      <w:r w:rsidR="000E54B4">
        <w:t xml:space="preserve">The results might explain the discrepancy (about 30%) in the number of HIV deaths </w:t>
      </w:r>
      <w:r w:rsidR="008101CB">
        <w:t>predicted</w:t>
      </w:r>
      <w:r w:rsidR="000E54B4">
        <w:t xml:space="preserve"> by CDC in 2013. </w:t>
      </w:r>
      <w:r w:rsidR="0096531D">
        <w:t xml:space="preserve">It could be a normal behavior due the fact that the life expectancy keeps increasing with the development of new and better treatments, or it could be something else. In order to clarify this matter, a deeper analysis is needed. </w:t>
      </w:r>
    </w:p>
    <w:p w:rsidR="0096531D" w:rsidRDefault="0096531D" w:rsidP="000E54B4">
      <w:pPr>
        <w:ind w:firstLine="720"/>
      </w:pPr>
      <w:r>
        <w:t>One of our hypothesis is that</w:t>
      </w:r>
      <w:r w:rsidR="007B2A77">
        <w:t xml:space="preserve"> since an increase in HIV cases among </w:t>
      </w:r>
      <w:r w:rsidR="007B249C">
        <w:t>Men w</w:t>
      </w:r>
      <w:r w:rsidR="008101CB">
        <w:t>ho have Sex with Men (</w:t>
      </w:r>
      <w:r w:rsidR="007B2A77">
        <w:t>MSM</w:t>
      </w:r>
      <w:r w:rsidR="008101CB">
        <w:t>)</w:t>
      </w:r>
      <w:r w:rsidR="007B2A77">
        <w:t xml:space="preserve"> have occurred recently, </w:t>
      </w:r>
      <w:r w:rsidR="007B2A77" w:rsidRPr="00447AD1">
        <w:t>higher income and better access to services among this population when compared to injectio</w:t>
      </w:r>
      <w:r w:rsidR="007B2A77">
        <w:t>n drug users (IDU) could be changing the burden of the disease and subsequently reflecting a</w:t>
      </w:r>
      <w:r w:rsidR="007B2A77" w:rsidRPr="00447AD1">
        <w:t xml:space="preserve"> </w:t>
      </w:r>
      <w:r w:rsidR="007B2A77">
        <w:t xml:space="preserve">decreasing trend </w:t>
      </w:r>
      <w:r w:rsidR="007B2A77" w:rsidRPr="00447AD1">
        <w:t>in HIV</w:t>
      </w:r>
      <w:r w:rsidR="007B2A77">
        <w:t xml:space="preserve"> deaths</w:t>
      </w:r>
      <w:r w:rsidR="007B2A77" w:rsidRPr="00447AD1">
        <w:t xml:space="preserve"> in Puerto Rico.  </w:t>
      </w:r>
      <w:r w:rsidR="007B2A77">
        <w:t>Hence, we performed a brief exploration within these two groups.</w:t>
      </w:r>
    </w:p>
    <w:p w:rsidR="007B2A77" w:rsidRDefault="007B2A77" w:rsidP="007B2A77"/>
    <w:p w:rsidR="007B2A77" w:rsidRDefault="007B249C" w:rsidP="007B2A77">
      <w:pPr>
        <w:pStyle w:val="Heading4"/>
        <w:rPr>
          <w:b w:val="0"/>
          <w:i/>
        </w:rPr>
      </w:pPr>
      <w:r>
        <w:rPr>
          <w:b w:val="0"/>
          <w:i/>
        </w:rPr>
        <w:t>Men w</w:t>
      </w:r>
      <w:r w:rsidR="007B2A77">
        <w:rPr>
          <w:b w:val="0"/>
          <w:i/>
        </w:rPr>
        <w:t>ho have Sex with Men (MSM) vs Injection Drug Users (IDU)</w:t>
      </w:r>
    </w:p>
    <w:p w:rsidR="004457B0" w:rsidRDefault="004457B0" w:rsidP="004457B0">
      <w:r>
        <w:tab/>
        <w:t>To have a better understanding of what</w:t>
      </w:r>
      <w:r w:rsidR="00FE1D6F">
        <w:t xml:space="preserve"> might be happening within these two groups, first we graph the number of deaths stratified by MSM and IDU:</w:t>
      </w:r>
    </w:p>
    <w:p w:rsidR="007E307E" w:rsidRPr="004457B0" w:rsidRDefault="007E307E" w:rsidP="004457B0"/>
    <w:p w:rsidR="00A06091" w:rsidRDefault="00A06091" w:rsidP="00A06091">
      <w:pPr>
        <w:keepNext/>
      </w:pPr>
      <w:r>
        <w:rPr>
          <w:noProof/>
        </w:rPr>
        <w:lastRenderedPageBreak/>
        <w:drawing>
          <wp:inline distT="0" distB="0" distL="0" distR="0" wp14:anchorId="015E9CE7" wp14:editId="25B5F155">
            <wp:extent cx="5852160" cy="310896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437E4" w:rsidRDefault="00A06091" w:rsidP="00A06091">
      <w:pPr>
        <w:pStyle w:val="Caption"/>
      </w:pPr>
      <w:bookmarkStart w:id="7" w:name="_Ref433815168"/>
      <w:bookmarkStart w:id="8" w:name="_Ref433815143"/>
      <w:r>
        <w:t xml:space="preserve">Figure </w:t>
      </w:r>
      <w:fldSimple w:instr=" SEQ Figure \* ARABIC ">
        <w:r w:rsidR="00644B76">
          <w:rPr>
            <w:noProof/>
          </w:rPr>
          <w:t>4</w:t>
        </w:r>
      </w:fldSimple>
      <w:bookmarkEnd w:id="7"/>
      <w:r>
        <w:t>: Trend in Number of HIV Deaths by MSM &amp; IDU</w:t>
      </w:r>
      <w:bookmarkEnd w:id="8"/>
    </w:p>
    <w:p w:rsidR="00A437E4" w:rsidRDefault="00A437E4" w:rsidP="00A437E4">
      <w:pPr>
        <w:ind w:firstLine="720"/>
      </w:pPr>
    </w:p>
    <w:p w:rsidR="00785794" w:rsidRDefault="00D6368F" w:rsidP="00A437E4">
      <w:pPr>
        <w:ind w:firstLine="720"/>
      </w:pPr>
      <w:r>
        <w:fldChar w:fldCharType="begin"/>
      </w:r>
      <w:r>
        <w:instrText xml:space="preserve"> REF _Ref433815168 \h </w:instrText>
      </w:r>
      <w:r>
        <w:fldChar w:fldCharType="separate"/>
      </w:r>
      <w:r w:rsidR="00644B76">
        <w:t xml:space="preserve">Figure </w:t>
      </w:r>
      <w:r w:rsidR="00644B76">
        <w:rPr>
          <w:noProof/>
        </w:rPr>
        <w:t>4</w:t>
      </w:r>
      <w:r>
        <w:fldChar w:fldCharType="end"/>
      </w:r>
      <w:r w:rsidR="00FE1D6F">
        <w:t xml:space="preserve"> </w:t>
      </w:r>
      <w:r w:rsidR="007E0FF5">
        <w:t>shows a decreasi</w:t>
      </w:r>
      <w:r w:rsidR="00FE1D6F">
        <w:t xml:space="preserve">ng trend in HIV in Puerto Rico for both groups. </w:t>
      </w:r>
      <w:r w:rsidR="007E0FF5">
        <w:t xml:space="preserve">In the IDU group, we can see a decrease of almost 7% which might explain the </w:t>
      </w:r>
      <w:r w:rsidR="00FE1D6F">
        <w:t>reason why the overall trend is also decreasing.</w:t>
      </w:r>
      <w:r w:rsidR="003573D4">
        <w:t xml:space="preserve"> </w:t>
      </w:r>
      <w:r w:rsidR="00785794">
        <w:t xml:space="preserve">The results from JoinPoint were: </w:t>
      </w:r>
    </w:p>
    <w:p w:rsidR="00785794" w:rsidRDefault="00785794" w:rsidP="00785794">
      <w:pPr>
        <w:keepNext/>
      </w:pPr>
      <w:r w:rsidRPr="004B5A7F">
        <w:rPr>
          <w:b/>
          <w:noProof/>
        </w:rPr>
        <w:drawing>
          <wp:inline distT="0" distB="0" distL="0" distR="0" wp14:anchorId="73447664" wp14:editId="247EBD3C">
            <wp:extent cx="5852160" cy="3119276"/>
            <wp:effectExtent l="0" t="0" r="0" b="0"/>
            <wp:docPr id="8" name="Picture 8" descr="C:\Users\mmachin\Desktop\Git\proptest\joinDeathms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machin\Desktop\Git\proptest\joinDeathmsm.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3119276"/>
                    </a:xfrm>
                    <a:prstGeom prst="rect">
                      <a:avLst/>
                    </a:prstGeom>
                    <a:noFill/>
                    <a:ln>
                      <a:noFill/>
                    </a:ln>
                  </pic:spPr>
                </pic:pic>
              </a:graphicData>
            </a:graphic>
          </wp:inline>
        </w:drawing>
      </w:r>
    </w:p>
    <w:p w:rsidR="00785794" w:rsidRDefault="00785794" w:rsidP="00785794">
      <w:pPr>
        <w:pStyle w:val="Caption"/>
      </w:pPr>
      <w:bookmarkStart w:id="9" w:name="_Ref433964664"/>
      <w:r>
        <w:t xml:space="preserve">Figure </w:t>
      </w:r>
      <w:fldSimple w:instr=" SEQ Figure \* ARABIC ">
        <w:r w:rsidR="00644B76">
          <w:rPr>
            <w:noProof/>
          </w:rPr>
          <w:t>5</w:t>
        </w:r>
      </w:fldSimple>
      <w:bookmarkEnd w:id="9"/>
      <w:r>
        <w:t>: Number of HIV Deaths for MSM (JoinPoint)</w:t>
      </w:r>
    </w:p>
    <w:p w:rsidR="00785794" w:rsidRDefault="00785794" w:rsidP="00785794"/>
    <w:p w:rsidR="00785794" w:rsidRDefault="00785794" w:rsidP="00785794">
      <w:pPr>
        <w:keepNext/>
      </w:pPr>
      <w:r w:rsidRPr="004B5A7F">
        <w:rPr>
          <w:b/>
          <w:noProof/>
        </w:rPr>
        <w:lastRenderedPageBreak/>
        <w:drawing>
          <wp:inline distT="0" distB="0" distL="0" distR="0" wp14:anchorId="4E09CEBC" wp14:editId="694CCE46">
            <wp:extent cx="5852160" cy="3119276"/>
            <wp:effectExtent l="0" t="0" r="0" b="0"/>
            <wp:docPr id="9" name="Picture 9" descr="C:\Users\mmachin\Desktop\Git\proptest\joinDeathid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machin\Desktop\Git\proptest\joinDeathidu.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160" cy="3119276"/>
                    </a:xfrm>
                    <a:prstGeom prst="rect">
                      <a:avLst/>
                    </a:prstGeom>
                    <a:noFill/>
                    <a:ln>
                      <a:noFill/>
                    </a:ln>
                  </pic:spPr>
                </pic:pic>
              </a:graphicData>
            </a:graphic>
          </wp:inline>
        </w:drawing>
      </w:r>
    </w:p>
    <w:p w:rsidR="00785794" w:rsidRDefault="00785794" w:rsidP="00785794">
      <w:pPr>
        <w:pStyle w:val="Caption"/>
      </w:pPr>
      <w:bookmarkStart w:id="10" w:name="_Ref433964678"/>
      <w:r>
        <w:t xml:space="preserve">Figure </w:t>
      </w:r>
      <w:fldSimple w:instr=" SEQ Figure \* ARABIC ">
        <w:r w:rsidR="00644B76">
          <w:rPr>
            <w:noProof/>
          </w:rPr>
          <w:t>6</w:t>
        </w:r>
      </w:fldSimple>
      <w:bookmarkEnd w:id="10"/>
      <w:r>
        <w:t xml:space="preserve">: Number of HIV Deaths for IDU </w:t>
      </w:r>
      <w:r w:rsidRPr="002D26A4">
        <w:t xml:space="preserve"> (JoinPoint)</w:t>
      </w:r>
    </w:p>
    <w:p w:rsidR="00A2561F" w:rsidRDefault="00785794" w:rsidP="00A437E4">
      <w:pPr>
        <w:ind w:firstLine="720"/>
      </w:pPr>
      <w:r>
        <w:t>According to the JoinPoint results, for the MSM group there was not a statistical significant reduction in the number of HIV deaths (</w:t>
      </w:r>
      <w:r>
        <w:fldChar w:fldCharType="begin"/>
      </w:r>
      <w:r>
        <w:instrText xml:space="preserve"> REF _Ref433964664 \h </w:instrText>
      </w:r>
      <w:r>
        <w:fldChar w:fldCharType="separate"/>
      </w:r>
      <w:r w:rsidR="00644B76">
        <w:t xml:space="preserve">Figure </w:t>
      </w:r>
      <w:r w:rsidR="00644B76">
        <w:rPr>
          <w:noProof/>
        </w:rPr>
        <w:t>5</w:t>
      </w:r>
      <w:r>
        <w:fldChar w:fldCharType="end"/>
      </w:r>
      <w:r>
        <w:t>), while in the IDU group a statistical significant reduction was observed for the period 2005-2011 (p-value &lt; 0.05) (</w:t>
      </w:r>
      <w:r>
        <w:fldChar w:fldCharType="begin"/>
      </w:r>
      <w:r>
        <w:instrText xml:space="preserve"> REF _Ref433964678 \h </w:instrText>
      </w:r>
      <w:r>
        <w:fldChar w:fldCharType="separate"/>
      </w:r>
      <w:r w:rsidR="00644B76">
        <w:t xml:space="preserve">Figure </w:t>
      </w:r>
      <w:r w:rsidR="00644B76">
        <w:rPr>
          <w:noProof/>
        </w:rPr>
        <w:t>6</w:t>
      </w:r>
      <w:r>
        <w:fldChar w:fldCharType="end"/>
      </w:r>
      <w:r>
        <w:t xml:space="preserve">). </w:t>
      </w:r>
      <w:r w:rsidR="00A2561F">
        <w:t xml:space="preserve">We ran a Poisson model to evaluate significant in the number of deaths across the period of study for both groups separately. </w:t>
      </w:r>
    </w:p>
    <w:p w:rsidR="00A2561F" w:rsidRDefault="00A2561F" w:rsidP="00A2561F">
      <w:pPr>
        <w:keepNext/>
      </w:pPr>
      <w:r w:rsidRPr="00A2561F">
        <w:rPr>
          <w:noProof/>
        </w:rPr>
        <w:lastRenderedPageBreak/>
        <w:drawing>
          <wp:inline distT="0" distB="0" distL="0" distR="0" wp14:anchorId="79C3F9DF" wp14:editId="6E55E109">
            <wp:extent cx="5852160" cy="5674012"/>
            <wp:effectExtent l="0" t="0" r="0" b="0"/>
            <wp:docPr id="2" name="Picture 2" descr="C:\Users\mmachin\Desktop\Git\proptest\muertesM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achin\Desktop\Git\proptest\muertesMS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160" cy="5674012"/>
                    </a:xfrm>
                    <a:prstGeom prst="rect">
                      <a:avLst/>
                    </a:prstGeom>
                    <a:noFill/>
                    <a:ln>
                      <a:noFill/>
                    </a:ln>
                  </pic:spPr>
                </pic:pic>
              </a:graphicData>
            </a:graphic>
          </wp:inline>
        </w:drawing>
      </w:r>
    </w:p>
    <w:p w:rsidR="00A2561F" w:rsidRDefault="00A2561F" w:rsidP="00A2561F">
      <w:pPr>
        <w:pStyle w:val="Caption"/>
      </w:pPr>
      <w:bookmarkStart w:id="11" w:name="_Ref433879829"/>
      <w:r>
        <w:t xml:space="preserve">Figure </w:t>
      </w:r>
      <w:r w:rsidR="00782F87">
        <w:fldChar w:fldCharType="begin"/>
      </w:r>
      <w:r w:rsidR="00782F87">
        <w:instrText xml:space="preserve"> SEQ Figure \* ARABIC </w:instrText>
      </w:r>
      <w:r w:rsidR="00782F87">
        <w:fldChar w:fldCharType="separate"/>
      </w:r>
      <w:r w:rsidR="00644B76">
        <w:rPr>
          <w:noProof/>
        </w:rPr>
        <w:t>7</w:t>
      </w:r>
      <w:r w:rsidR="00782F87">
        <w:rPr>
          <w:noProof/>
        </w:rPr>
        <w:fldChar w:fldCharType="end"/>
      </w:r>
      <w:bookmarkEnd w:id="11"/>
      <w:r>
        <w:t>: Poisson Model for Number of HIV Deaths for MSM</w:t>
      </w:r>
    </w:p>
    <w:p w:rsidR="00A2561F" w:rsidRDefault="00A2561F" w:rsidP="00A2561F"/>
    <w:p w:rsidR="00A2561F" w:rsidRDefault="00A2561F" w:rsidP="00A2561F">
      <w:pPr>
        <w:keepNext/>
      </w:pPr>
      <w:r w:rsidRPr="00A2561F">
        <w:rPr>
          <w:noProof/>
        </w:rPr>
        <w:lastRenderedPageBreak/>
        <w:drawing>
          <wp:inline distT="0" distB="0" distL="0" distR="0" wp14:anchorId="6FA70E61" wp14:editId="76DF7FAB">
            <wp:extent cx="5852160" cy="5816531"/>
            <wp:effectExtent l="0" t="0" r="0" b="0"/>
            <wp:docPr id="3" name="Picture 3" descr="C:\Users\mmachin\Desktop\Git\proptest\muertesI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machin\Desktop\Git\proptest\muertesID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5816531"/>
                    </a:xfrm>
                    <a:prstGeom prst="rect">
                      <a:avLst/>
                    </a:prstGeom>
                    <a:noFill/>
                    <a:ln>
                      <a:noFill/>
                    </a:ln>
                  </pic:spPr>
                </pic:pic>
              </a:graphicData>
            </a:graphic>
          </wp:inline>
        </w:drawing>
      </w:r>
    </w:p>
    <w:p w:rsidR="00A2561F" w:rsidRDefault="00A2561F" w:rsidP="00A2561F">
      <w:pPr>
        <w:pStyle w:val="Caption"/>
      </w:pPr>
      <w:bookmarkStart w:id="12" w:name="_Ref433880101"/>
      <w:r>
        <w:t xml:space="preserve">Figure </w:t>
      </w:r>
      <w:r w:rsidR="00782F87">
        <w:fldChar w:fldCharType="begin"/>
      </w:r>
      <w:r w:rsidR="00782F87">
        <w:instrText xml:space="preserve"> SEQ Figure \* ARABIC </w:instrText>
      </w:r>
      <w:r w:rsidR="00782F87">
        <w:fldChar w:fldCharType="separate"/>
      </w:r>
      <w:r w:rsidR="00644B76">
        <w:rPr>
          <w:noProof/>
        </w:rPr>
        <w:t>8</w:t>
      </w:r>
      <w:r w:rsidR="00782F87">
        <w:rPr>
          <w:noProof/>
        </w:rPr>
        <w:fldChar w:fldCharType="end"/>
      </w:r>
      <w:bookmarkEnd w:id="12"/>
      <w:r>
        <w:t>: Poisson Model for Number of HIV Deaths for IDU</w:t>
      </w:r>
    </w:p>
    <w:p w:rsidR="00A2561F" w:rsidRDefault="00A2561F" w:rsidP="00A2561F"/>
    <w:p w:rsidR="00CB58A4" w:rsidRDefault="00A2561F" w:rsidP="00CB58A4">
      <w:r>
        <w:tab/>
      </w:r>
      <w:r>
        <w:fldChar w:fldCharType="begin"/>
      </w:r>
      <w:r>
        <w:instrText xml:space="preserve"> REF _Ref433879829 \h </w:instrText>
      </w:r>
      <w:r>
        <w:fldChar w:fldCharType="separate"/>
      </w:r>
      <w:r w:rsidR="00644B76">
        <w:t xml:space="preserve">Figure </w:t>
      </w:r>
      <w:r w:rsidR="00644B76">
        <w:rPr>
          <w:noProof/>
        </w:rPr>
        <w:t>7</w:t>
      </w:r>
      <w:r>
        <w:fldChar w:fldCharType="end"/>
      </w:r>
      <w:r>
        <w:t xml:space="preserve"> shows </w:t>
      </w:r>
      <w:r w:rsidR="00173B16">
        <w:t xml:space="preserve">a reduction in number of deaths in the MSM group of almost 19% in 2014 when compared to 2003, although </w:t>
      </w:r>
      <w:r>
        <w:t xml:space="preserve">no statistical significant </w:t>
      </w:r>
      <w:r w:rsidR="00173B16">
        <w:t xml:space="preserve">difference was observed (p-value &gt; 0.10).  On the other hand, </w:t>
      </w:r>
      <w:r w:rsidR="00173B16">
        <w:fldChar w:fldCharType="begin"/>
      </w:r>
      <w:r w:rsidR="00173B16">
        <w:instrText xml:space="preserve"> REF _Ref433880101 \h </w:instrText>
      </w:r>
      <w:r w:rsidR="00173B16">
        <w:fldChar w:fldCharType="separate"/>
      </w:r>
      <w:r w:rsidR="00644B76">
        <w:t xml:space="preserve">Figure </w:t>
      </w:r>
      <w:r w:rsidR="00644B76">
        <w:rPr>
          <w:noProof/>
        </w:rPr>
        <w:t>8</w:t>
      </w:r>
      <w:r w:rsidR="00173B16">
        <w:fldChar w:fldCharType="end"/>
      </w:r>
      <w:r w:rsidR="00173B16">
        <w:t xml:space="preserve"> shows a reduction in number of deaths in the IDU group of almost 41% in 2014 when compared to 2003. This reduction was statistically significant (p-value &lt; 0.001). In other word</w:t>
      </w:r>
      <w:r w:rsidR="00CB58A4">
        <w:t>s, the number of deaths for the MSM group keep a constant reduction. That is not the case for the IDU group which was observed a marked reduction in the number</w:t>
      </w:r>
      <w:r w:rsidR="003B1FB1">
        <w:t xml:space="preserve"> of death for the study period. These results complement the ones provided by JoinPoint Software.</w:t>
      </w:r>
      <w:r w:rsidR="00B563E0">
        <w:t xml:space="preserve"> The percent chances for both groups are shown in </w:t>
      </w:r>
      <w:r w:rsidR="00B563E0">
        <w:fldChar w:fldCharType="begin"/>
      </w:r>
      <w:r w:rsidR="00B563E0">
        <w:instrText xml:space="preserve"> REF _Ref433965352 \h </w:instrText>
      </w:r>
      <w:r w:rsidR="00B563E0">
        <w:fldChar w:fldCharType="separate"/>
      </w:r>
      <w:r w:rsidR="00644B76">
        <w:t xml:space="preserve">Table </w:t>
      </w:r>
      <w:r w:rsidR="00644B76">
        <w:rPr>
          <w:noProof/>
        </w:rPr>
        <w:t>2</w:t>
      </w:r>
      <w:r w:rsidR="00B563E0">
        <w:fldChar w:fldCharType="end"/>
      </w:r>
      <w:r w:rsidR="00644B76">
        <w:t>:</w:t>
      </w:r>
      <w:r w:rsidR="00B563E0">
        <w:fldChar w:fldCharType="begin"/>
      </w:r>
      <w:r w:rsidR="00B563E0">
        <w:instrText xml:space="preserve"> REF _Ref433815242 \h </w:instrText>
      </w:r>
      <w:r w:rsidR="00B563E0">
        <w:fldChar w:fldCharType="separate"/>
      </w:r>
      <w:r w:rsidR="00644B76">
        <w:t xml:space="preserve">Table </w:t>
      </w:r>
      <w:r w:rsidR="00644B76">
        <w:rPr>
          <w:noProof/>
        </w:rPr>
        <w:t>1</w:t>
      </w:r>
      <w:r w:rsidR="00B563E0">
        <w:fldChar w:fldCharType="end"/>
      </w:r>
    </w:p>
    <w:p w:rsidR="00B563E0" w:rsidRDefault="00B563E0" w:rsidP="00CB58A4"/>
    <w:p w:rsidR="00B563E0" w:rsidRDefault="00B563E0" w:rsidP="00B563E0">
      <w:pPr>
        <w:pStyle w:val="Caption"/>
        <w:keepNext/>
      </w:pPr>
      <w:bookmarkStart w:id="13" w:name="_Ref433965352"/>
      <w:r>
        <w:t xml:space="preserve">Table </w:t>
      </w:r>
      <w:fldSimple w:instr=" SEQ Table \* ARABIC ">
        <w:r w:rsidR="00644B76">
          <w:rPr>
            <w:noProof/>
          </w:rPr>
          <w:t>2</w:t>
        </w:r>
      </w:fldSimple>
      <w:bookmarkEnd w:id="13"/>
      <w:r>
        <w:t>: Percent Changes by Mode of Transmission</w:t>
      </w:r>
    </w:p>
    <w:tbl>
      <w:tblPr>
        <w:tblStyle w:val="PlainTable1"/>
        <w:tblW w:w="6408" w:type="dxa"/>
        <w:tblLook w:val="04A0" w:firstRow="1" w:lastRow="0" w:firstColumn="1" w:lastColumn="0" w:noHBand="0" w:noVBand="1"/>
      </w:tblPr>
      <w:tblGrid>
        <w:gridCol w:w="1240"/>
        <w:gridCol w:w="2558"/>
        <w:gridCol w:w="2610"/>
      </w:tblGrid>
      <w:tr w:rsidR="00B563E0" w:rsidRPr="00B563E0" w:rsidTr="00B563E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rsidR="00B563E0" w:rsidRPr="00B563E0" w:rsidRDefault="00B563E0" w:rsidP="00B563E0">
            <w:pPr>
              <w:spacing w:before="0" w:after="0"/>
              <w:jc w:val="center"/>
              <w:rPr>
                <w:rFonts w:ascii="Calibri" w:eastAsia="Times New Roman" w:hAnsi="Calibri" w:cs="Times New Roman"/>
                <w:color w:val="000000"/>
                <w:sz w:val="22"/>
                <w:szCs w:val="22"/>
              </w:rPr>
            </w:pPr>
            <w:r w:rsidRPr="00B563E0">
              <w:rPr>
                <w:rFonts w:ascii="Calibri" w:eastAsia="Times New Roman" w:hAnsi="Calibri" w:cs="Times New Roman"/>
                <w:color w:val="000000"/>
                <w:sz w:val="22"/>
                <w:szCs w:val="22"/>
              </w:rPr>
              <w:t>Year</w:t>
            </w:r>
          </w:p>
        </w:tc>
        <w:tc>
          <w:tcPr>
            <w:tcW w:w="2558" w:type="dxa"/>
            <w:noWrap/>
            <w:hideMark/>
          </w:tcPr>
          <w:p w:rsidR="00B563E0" w:rsidRPr="00B563E0" w:rsidRDefault="00B563E0" w:rsidP="00B563E0">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563E0">
              <w:rPr>
                <w:rFonts w:ascii="Calibri" w:eastAsia="Times New Roman" w:hAnsi="Calibri" w:cs="Times New Roman"/>
                <w:color w:val="000000"/>
                <w:sz w:val="22"/>
                <w:szCs w:val="22"/>
              </w:rPr>
              <w:t>Percent Change MSM (%)</w:t>
            </w:r>
          </w:p>
        </w:tc>
        <w:tc>
          <w:tcPr>
            <w:tcW w:w="2610" w:type="dxa"/>
            <w:noWrap/>
            <w:hideMark/>
          </w:tcPr>
          <w:p w:rsidR="00B563E0" w:rsidRPr="00B563E0" w:rsidRDefault="00B563E0" w:rsidP="00B563E0">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563E0">
              <w:rPr>
                <w:rFonts w:ascii="Calibri" w:eastAsia="Times New Roman" w:hAnsi="Calibri" w:cs="Times New Roman"/>
                <w:color w:val="000000"/>
                <w:sz w:val="22"/>
                <w:szCs w:val="22"/>
              </w:rPr>
              <w:t>Percent Change IDU (%)</w:t>
            </w:r>
          </w:p>
        </w:tc>
      </w:tr>
      <w:tr w:rsidR="00B563E0" w:rsidRPr="00B563E0" w:rsidTr="00B563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rsidR="00B563E0" w:rsidRPr="00B563E0" w:rsidRDefault="00B563E0" w:rsidP="00B563E0">
            <w:pPr>
              <w:spacing w:before="0" w:after="0"/>
              <w:jc w:val="center"/>
              <w:rPr>
                <w:rFonts w:ascii="Calibri" w:eastAsia="Times New Roman" w:hAnsi="Calibri" w:cs="Times New Roman"/>
                <w:color w:val="000000"/>
                <w:sz w:val="22"/>
                <w:szCs w:val="22"/>
              </w:rPr>
            </w:pPr>
            <w:r w:rsidRPr="00B563E0">
              <w:rPr>
                <w:rFonts w:ascii="Calibri" w:eastAsia="Times New Roman" w:hAnsi="Calibri" w:cs="Times New Roman"/>
                <w:color w:val="000000"/>
                <w:sz w:val="22"/>
                <w:szCs w:val="22"/>
              </w:rPr>
              <w:t>2003-2005</w:t>
            </w:r>
          </w:p>
        </w:tc>
        <w:tc>
          <w:tcPr>
            <w:tcW w:w="2558" w:type="dxa"/>
            <w:noWrap/>
            <w:hideMark/>
          </w:tcPr>
          <w:p w:rsidR="00B563E0" w:rsidRPr="00B563E0" w:rsidRDefault="00B563E0" w:rsidP="00B563E0">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563E0">
              <w:rPr>
                <w:rFonts w:ascii="Calibri" w:eastAsia="Times New Roman" w:hAnsi="Calibri" w:cs="Times New Roman"/>
                <w:color w:val="000000"/>
                <w:sz w:val="22"/>
                <w:szCs w:val="22"/>
              </w:rPr>
              <w:t>2.20</w:t>
            </w:r>
          </w:p>
        </w:tc>
        <w:tc>
          <w:tcPr>
            <w:tcW w:w="2610" w:type="dxa"/>
            <w:noWrap/>
            <w:hideMark/>
          </w:tcPr>
          <w:p w:rsidR="00B563E0" w:rsidRPr="00B563E0" w:rsidRDefault="00B563E0" w:rsidP="00B563E0">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563E0">
              <w:rPr>
                <w:rFonts w:ascii="Calibri" w:eastAsia="Times New Roman" w:hAnsi="Calibri" w:cs="Times New Roman"/>
                <w:color w:val="000000"/>
                <w:sz w:val="22"/>
                <w:szCs w:val="22"/>
              </w:rPr>
              <w:t>12.10</w:t>
            </w:r>
          </w:p>
        </w:tc>
      </w:tr>
      <w:tr w:rsidR="00B563E0" w:rsidRPr="00B563E0" w:rsidTr="00B563E0">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rsidR="00B563E0" w:rsidRPr="00B563E0" w:rsidRDefault="00B563E0" w:rsidP="00B563E0">
            <w:pPr>
              <w:spacing w:before="0" w:after="0"/>
              <w:jc w:val="center"/>
              <w:rPr>
                <w:rFonts w:ascii="Calibri" w:eastAsia="Times New Roman" w:hAnsi="Calibri" w:cs="Times New Roman"/>
                <w:color w:val="000000"/>
                <w:sz w:val="22"/>
                <w:szCs w:val="22"/>
              </w:rPr>
            </w:pPr>
            <w:r w:rsidRPr="00B563E0">
              <w:rPr>
                <w:rFonts w:ascii="Calibri" w:eastAsia="Times New Roman" w:hAnsi="Calibri" w:cs="Times New Roman"/>
                <w:color w:val="000000"/>
                <w:sz w:val="22"/>
                <w:szCs w:val="22"/>
              </w:rPr>
              <w:t>2006-2008</w:t>
            </w:r>
          </w:p>
        </w:tc>
        <w:tc>
          <w:tcPr>
            <w:tcW w:w="2558" w:type="dxa"/>
            <w:noWrap/>
            <w:hideMark/>
          </w:tcPr>
          <w:p w:rsidR="00B563E0" w:rsidRPr="00B563E0" w:rsidRDefault="00B563E0" w:rsidP="00B563E0">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563E0">
              <w:rPr>
                <w:rFonts w:ascii="Calibri" w:eastAsia="Times New Roman" w:hAnsi="Calibri" w:cs="Times New Roman"/>
                <w:color w:val="000000"/>
                <w:sz w:val="22"/>
                <w:szCs w:val="22"/>
              </w:rPr>
              <w:t>4.44</w:t>
            </w:r>
          </w:p>
        </w:tc>
        <w:tc>
          <w:tcPr>
            <w:tcW w:w="2610" w:type="dxa"/>
            <w:noWrap/>
            <w:hideMark/>
          </w:tcPr>
          <w:p w:rsidR="00B563E0" w:rsidRPr="00B563E0" w:rsidRDefault="00B563E0" w:rsidP="00B563E0">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563E0">
              <w:rPr>
                <w:rFonts w:ascii="Calibri" w:eastAsia="Times New Roman" w:hAnsi="Calibri" w:cs="Times New Roman"/>
                <w:color w:val="000000"/>
                <w:sz w:val="22"/>
                <w:szCs w:val="22"/>
              </w:rPr>
              <w:t>13.33</w:t>
            </w:r>
          </w:p>
        </w:tc>
      </w:tr>
      <w:tr w:rsidR="00B563E0" w:rsidRPr="00B563E0" w:rsidTr="00B563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rsidR="00B563E0" w:rsidRPr="00B563E0" w:rsidRDefault="00B563E0" w:rsidP="00B563E0">
            <w:pPr>
              <w:spacing w:before="0" w:after="0"/>
              <w:jc w:val="center"/>
              <w:rPr>
                <w:rFonts w:ascii="Calibri" w:eastAsia="Times New Roman" w:hAnsi="Calibri" w:cs="Times New Roman"/>
                <w:color w:val="000000"/>
                <w:sz w:val="22"/>
                <w:szCs w:val="22"/>
              </w:rPr>
            </w:pPr>
            <w:r w:rsidRPr="00B563E0">
              <w:rPr>
                <w:rFonts w:ascii="Calibri" w:eastAsia="Times New Roman" w:hAnsi="Calibri" w:cs="Times New Roman"/>
                <w:color w:val="000000"/>
                <w:sz w:val="22"/>
                <w:szCs w:val="22"/>
              </w:rPr>
              <w:t>2009-2011</w:t>
            </w:r>
          </w:p>
        </w:tc>
        <w:tc>
          <w:tcPr>
            <w:tcW w:w="2558" w:type="dxa"/>
            <w:noWrap/>
            <w:hideMark/>
          </w:tcPr>
          <w:p w:rsidR="00B563E0" w:rsidRPr="00B563E0" w:rsidRDefault="00B563E0" w:rsidP="00B563E0">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563E0">
              <w:rPr>
                <w:rFonts w:ascii="Calibri" w:eastAsia="Times New Roman" w:hAnsi="Calibri" w:cs="Times New Roman"/>
                <w:color w:val="000000"/>
                <w:sz w:val="22"/>
                <w:szCs w:val="22"/>
              </w:rPr>
              <w:t>11.11</w:t>
            </w:r>
          </w:p>
        </w:tc>
        <w:tc>
          <w:tcPr>
            <w:tcW w:w="2610" w:type="dxa"/>
            <w:noWrap/>
            <w:hideMark/>
          </w:tcPr>
          <w:p w:rsidR="00B563E0" w:rsidRPr="00B563E0" w:rsidRDefault="00B563E0" w:rsidP="00B563E0">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B563E0">
              <w:rPr>
                <w:rFonts w:ascii="Calibri" w:eastAsia="Times New Roman" w:hAnsi="Calibri" w:cs="Times New Roman"/>
                <w:color w:val="000000"/>
                <w:sz w:val="22"/>
                <w:szCs w:val="22"/>
              </w:rPr>
              <w:t>10.37</w:t>
            </w:r>
          </w:p>
        </w:tc>
      </w:tr>
      <w:tr w:rsidR="00B563E0" w:rsidRPr="00B563E0" w:rsidTr="00B563E0">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rsidR="00B563E0" w:rsidRPr="00B563E0" w:rsidRDefault="00B563E0" w:rsidP="00B563E0">
            <w:pPr>
              <w:spacing w:before="0" w:after="0"/>
              <w:jc w:val="center"/>
              <w:rPr>
                <w:rFonts w:ascii="Calibri" w:eastAsia="Times New Roman" w:hAnsi="Calibri" w:cs="Times New Roman"/>
                <w:color w:val="000000"/>
                <w:sz w:val="22"/>
                <w:szCs w:val="22"/>
              </w:rPr>
            </w:pPr>
            <w:r w:rsidRPr="00B563E0">
              <w:rPr>
                <w:rFonts w:ascii="Calibri" w:eastAsia="Times New Roman" w:hAnsi="Calibri" w:cs="Times New Roman"/>
                <w:color w:val="000000"/>
                <w:sz w:val="22"/>
                <w:szCs w:val="22"/>
              </w:rPr>
              <w:t>2012-2014</w:t>
            </w:r>
          </w:p>
        </w:tc>
        <w:tc>
          <w:tcPr>
            <w:tcW w:w="2558" w:type="dxa"/>
            <w:noWrap/>
            <w:hideMark/>
          </w:tcPr>
          <w:p w:rsidR="00B563E0" w:rsidRPr="00B563E0" w:rsidRDefault="00B563E0" w:rsidP="00B563E0">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563E0">
              <w:rPr>
                <w:rFonts w:ascii="Calibri" w:eastAsia="Times New Roman" w:hAnsi="Calibri" w:cs="Times New Roman"/>
                <w:color w:val="000000"/>
                <w:sz w:val="22"/>
                <w:szCs w:val="22"/>
              </w:rPr>
              <w:t>29.82</w:t>
            </w:r>
          </w:p>
        </w:tc>
        <w:tc>
          <w:tcPr>
            <w:tcW w:w="2610" w:type="dxa"/>
            <w:noWrap/>
            <w:hideMark/>
          </w:tcPr>
          <w:p w:rsidR="00B563E0" w:rsidRPr="00B563E0" w:rsidRDefault="00B563E0" w:rsidP="00B563E0">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B563E0">
              <w:rPr>
                <w:rFonts w:ascii="Calibri" w:eastAsia="Times New Roman" w:hAnsi="Calibri" w:cs="Times New Roman"/>
                <w:color w:val="000000"/>
                <w:sz w:val="22"/>
                <w:szCs w:val="22"/>
              </w:rPr>
              <w:t>25.12</w:t>
            </w:r>
          </w:p>
        </w:tc>
      </w:tr>
    </w:tbl>
    <w:p w:rsidR="00B563E0" w:rsidRDefault="00B563E0" w:rsidP="00CB58A4"/>
    <w:p w:rsidR="00331EB7" w:rsidRDefault="00331EB7" w:rsidP="00CB58A4">
      <w:pPr>
        <w:ind w:firstLine="720"/>
      </w:pPr>
      <w:r>
        <w:t xml:space="preserve">To </w:t>
      </w:r>
      <w:r w:rsidR="0005387C">
        <w:t xml:space="preserve">try to </w:t>
      </w:r>
      <w:r>
        <w:t xml:space="preserve">answer our hypothesis, we </w:t>
      </w:r>
      <w:r w:rsidR="00CB58A4">
        <w:t>verified</w:t>
      </w:r>
      <w:r>
        <w:t xml:space="preserve"> if the number of new cases vary across the study period. </w:t>
      </w:r>
      <w:r w:rsidR="0043352D">
        <w:fldChar w:fldCharType="begin"/>
      </w:r>
      <w:r w:rsidR="0043352D">
        <w:instrText xml:space="preserve"> REF _Ref433815474 \h </w:instrText>
      </w:r>
      <w:r w:rsidR="0043352D">
        <w:fldChar w:fldCharType="separate"/>
      </w:r>
      <w:r w:rsidR="00644B76">
        <w:t xml:space="preserve">Table </w:t>
      </w:r>
      <w:r w:rsidR="00644B76">
        <w:rPr>
          <w:noProof/>
        </w:rPr>
        <w:t>3</w:t>
      </w:r>
      <w:r w:rsidR="0043352D">
        <w:fldChar w:fldCharType="end"/>
      </w:r>
      <w:r w:rsidR="0043352D">
        <w:t xml:space="preserve"> </w:t>
      </w:r>
      <w:r>
        <w:t xml:space="preserve">shows the number of new HIV cases among MSM and IDU: </w:t>
      </w:r>
    </w:p>
    <w:p w:rsidR="00644B76" w:rsidRDefault="00644B76" w:rsidP="00CB58A4">
      <w:pPr>
        <w:ind w:firstLine="720"/>
      </w:pPr>
      <w:bookmarkStart w:id="14" w:name="_GoBack"/>
      <w:bookmarkEnd w:id="14"/>
    </w:p>
    <w:p w:rsidR="0005387C" w:rsidRDefault="0005387C" w:rsidP="0005387C">
      <w:pPr>
        <w:pStyle w:val="Caption"/>
        <w:keepNext/>
      </w:pPr>
      <w:bookmarkStart w:id="15" w:name="_Ref433815474"/>
      <w:r>
        <w:t xml:space="preserve">Table </w:t>
      </w:r>
      <w:fldSimple w:instr=" SEQ Table \* ARABIC ">
        <w:r w:rsidR="00644B76">
          <w:rPr>
            <w:noProof/>
          </w:rPr>
          <w:t>3</w:t>
        </w:r>
      </w:fldSimple>
      <w:bookmarkEnd w:id="15"/>
      <w:r>
        <w:t>: Number of new cases among MSM and IDU</w:t>
      </w:r>
    </w:p>
    <w:tbl>
      <w:tblPr>
        <w:tblStyle w:val="PlainTable1"/>
        <w:tblW w:w="0" w:type="auto"/>
        <w:tblInd w:w="108" w:type="dxa"/>
        <w:tblLook w:val="04A0" w:firstRow="1" w:lastRow="0" w:firstColumn="1" w:lastColumn="0" w:noHBand="0" w:noVBand="1"/>
      </w:tblPr>
      <w:tblGrid>
        <w:gridCol w:w="810"/>
        <w:gridCol w:w="1530"/>
        <w:gridCol w:w="1620"/>
      </w:tblGrid>
      <w:tr w:rsidR="0005387C" w:rsidRPr="00331EB7" w:rsidTr="00CB58A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noWrap/>
          </w:tcPr>
          <w:p w:rsidR="0005387C" w:rsidRPr="00331EB7" w:rsidRDefault="0005387C" w:rsidP="0005387C">
            <w:pPr>
              <w:spacing w:before="0" w:after="0"/>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Year</w:t>
            </w:r>
          </w:p>
        </w:tc>
        <w:tc>
          <w:tcPr>
            <w:tcW w:w="1530" w:type="dxa"/>
            <w:noWrap/>
          </w:tcPr>
          <w:p w:rsidR="0005387C" w:rsidRPr="00331EB7" w:rsidRDefault="0005387C" w:rsidP="0005387C">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MSM</w:t>
            </w:r>
          </w:p>
        </w:tc>
        <w:tc>
          <w:tcPr>
            <w:tcW w:w="1620" w:type="dxa"/>
            <w:noWrap/>
          </w:tcPr>
          <w:p w:rsidR="0005387C" w:rsidRPr="00331EB7" w:rsidRDefault="0005387C" w:rsidP="0005387C">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Pr>
                <w:rFonts w:ascii="Calibri" w:eastAsia="Times New Roman" w:hAnsi="Calibri" w:cs="Times New Roman"/>
                <w:color w:val="000000"/>
                <w:sz w:val="22"/>
                <w:szCs w:val="22"/>
              </w:rPr>
              <w:t>IDU</w:t>
            </w:r>
          </w:p>
        </w:tc>
      </w:tr>
      <w:tr w:rsidR="0005387C" w:rsidRPr="00331EB7" w:rsidTr="00CB58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2003</w:t>
            </w:r>
          </w:p>
        </w:tc>
        <w:tc>
          <w:tcPr>
            <w:tcW w:w="153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127</w:t>
            </w:r>
          </w:p>
        </w:tc>
        <w:tc>
          <w:tcPr>
            <w:tcW w:w="162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267</w:t>
            </w:r>
          </w:p>
        </w:tc>
      </w:tr>
      <w:tr w:rsidR="0005387C" w:rsidRPr="00331EB7" w:rsidTr="00CB58A4">
        <w:trPr>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2004</w:t>
            </w:r>
          </w:p>
        </w:tc>
        <w:tc>
          <w:tcPr>
            <w:tcW w:w="153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143</w:t>
            </w:r>
          </w:p>
        </w:tc>
        <w:tc>
          <w:tcPr>
            <w:tcW w:w="162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222</w:t>
            </w:r>
          </w:p>
        </w:tc>
      </w:tr>
      <w:tr w:rsidR="0005387C" w:rsidRPr="00331EB7" w:rsidTr="00CB58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2005</w:t>
            </w:r>
          </w:p>
        </w:tc>
        <w:tc>
          <w:tcPr>
            <w:tcW w:w="153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173</w:t>
            </w:r>
          </w:p>
        </w:tc>
        <w:tc>
          <w:tcPr>
            <w:tcW w:w="162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240</w:t>
            </w:r>
          </w:p>
        </w:tc>
      </w:tr>
      <w:tr w:rsidR="0005387C" w:rsidRPr="00331EB7" w:rsidTr="00CB58A4">
        <w:trPr>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2006</w:t>
            </w:r>
          </w:p>
        </w:tc>
        <w:tc>
          <w:tcPr>
            <w:tcW w:w="153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172</w:t>
            </w:r>
          </w:p>
        </w:tc>
        <w:tc>
          <w:tcPr>
            <w:tcW w:w="162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205</w:t>
            </w:r>
          </w:p>
        </w:tc>
      </w:tr>
      <w:tr w:rsidR="0005387C" w:rsidRPr="00331EB7" w:rsidTr="00CB58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2007</w:t>
            </w:r>
          </w:p>
        </w:tc>
        <w:tc>
          <w:tcPr>
            <w:tcW w:w="153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190</w:t>
            </w:r>
          </w:p>
        </w:tc>
        <w:tc>
          <w:tcPr>
            <w:tcW w:w="162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162</w:t>
            </w:r>
          </w:p>
        </w:tc>
      </w:tr>
      <w:tr w:rsidR="0005387C" w:rsidRPr="00331EB7" w:rsidTr="00CB58A4">
        <w:trPr>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2008</w:t>
            </w:r>
          </w:p>
        </w:tc>
        <w:tc>
          <w:tcPr>
            <w:tcW w:w="153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214</w:t>
            </w:r>
          </w:p>
        </w:tc>
        <w:tc>
          <w:tcPr>
            <w:tcW w:w="162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185</w:t>
            </w:r>
          </w:p>
        </w:tc>
      </w:tr>
      <w:tr w:rsidR="0005387C" w:rsidRPr="00331EB7" w:rsidTr="00CB58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2009</w:t>
            </w:r>
          </w:p>
        </w:tc>
        <w:tc>
          <w:tcPr>
            <w:tcW w:w="153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224</w:t>
            </w:r>
          </w:p>
        </w:tc>
        <w:tc>
          <w:tcPr>
            <w:tcW w:w="162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126</w:t>
            </w:r>
          </w:p>
        </w:tc>
      </w:tr>
      <w:tr w:rsidR="0005387C" w:rsidRPr="00331EB7" w:rsidTr="00CB58A4">
        <w:trPr>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2010</w:t>
            </w:r>
          </w:p>
        </w:tc>
        <w:tc>
          <w:tcPr>
            <w:tcW w:w="153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240</w:t>
            </w:r>
          </w:p>
        </w:tc>
        <w:tc>
          <w:tcPr>
            <w:tcW w:w="162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102</w:t>
            </w:r>
          </w:p>
        </w:tc>
      </w:tr>
      <w:tr w:rsidR="0005387C" w:rsidRPr="00331EB7" w:rsidTr="00CB58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2011</w:t>
            </w:r>
          </w:p>
        </w:tc>
        <w:tc>
          <w:tcPr>
            <w:tcW w:w="153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244</w:t>
            </w:r>
          </w:p>
        </w:tc>
        <w:tc>
          <w:tcPr>
            <w:tcW w:w="162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90</w:t>
            </w:r>
          </w:p>
        </w:tc>
      </w:tr>
      <w:tr w:rsidR="0005387C" w:rsidRPr="00331EB7" w:rsidTr="00CB58A4">
        <w:trPr>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2012</w:t>
            </w:r>
          </w:p>
        </w:tc>
        <w:tc>
          <w:tcPr>
            <w:tcW w:w="153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271</w:t>
            </w:r>
          </w:p>
        </w:tc>
        <w:tc>
          <w:tcPr>
            <w:tcW w:w="162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85</w:t>
            </w:r>
          </w:p>
        </w:tc>
      </w:tr>
      <w:tr w:rsidR="0005387C" w:rsidRPr="00331EB7" w:rsidTr="00CB58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2013</w:t>
            </w:r>
          </w:p>
        </w:tc>
        <w:tc>
          <w:tcPr>
            <w:tcW w:w="153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270</w:t>
            </w:r>
          </w:p>
        </w:tc>
        <w:tc>
          <w:tcPr>
            <w:tcW w:w="1620" w:type="dxa"/>
            <w:noWrap/>
            <w:hideMark/>
          </w:tcPr>
          <w:p w:rsidR="00331EB7" w:rsidRPr="00331EB7" w:rsidRDefault="00331EB7" w:rsidP="0005387C">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88</w:t>
            </w:r>
          </w:p>
        </w:tc>
      </w:tr>
      <w:tr w:rsidR="0005387C" w:rsidRPr="00331EB7" w:rsidTr="00CB58A4">
        <w:trPr>
          <w:trHeight w:val="300"/>
        </w:trPr>
        <w:tc>
          <w:tcPr>
            <w:cnfStyle w:val="001000000000" w:firstRow="0" w:lastRow="0" w:firstColumn="1" w:lastColumn="0" w:oddVBand="0" w:evenVBand="0" w:oddHBand="0" w:evenHBand="0" w:firstRowFirstColumn="0" w:firstRowLastColumn="0" w:lastRowFirstColumn="0" w:lastRowLastColumn="0"/>
            <w:tcW w:w="810" w:type="dxa"/>
            <w:noWrap/>
            <w:hideMark/>
          </w:tcPr>
          <w:p w:rsidR="00331EB7" w:rsidRPr="00331EB7" w:rsidRDefault="00331EB7" w:rsidP="0005387C">
            <w:pPr>
              <w:spacing w:before="0" w:after="0"/>
              <w:jc w:val="center"/>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2014</w:t>
            </w:r>
          </w:p>
        </w:tc>
        <w:tc>
          <w:tcPr>
            <w:tcW w:w="153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257</w:t>
            </w:r>
          </w:p>
        </w:tc>
        <w:tc>
          <w:tcPr>
            <w:tcW w:w="1620" w:type="dxa"/>
            <w:noWrap/>
            <w:hideMark/>
          </w:tcPr>
          <w:p w:rsidR="00331EB7" w:rsidRPr="00331EB7" w:rsidRDefault="00331EB7" w:rsidP="0005387C">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31EB7">
              <w:rPr>
                <w:rFonts w:ascii="Calibri" w:eastAsia="Times New Roman" w:hAnsi="Calibri" w:cs="Times New Roman"/>
                <w:color w:val="000000"/>
                <w:sz w:val="22"/>
                <w:szCs w:val="22"/>
              </w:rPr>
              <w:t>60</w:t>
            </w:r>
          </w:p>
        </w:tc>
      </w:tr>
    </w:tbl>
    <w:p w:rsidR="0043352D" w:rsidRDefault="00CB58A4" w:rsidP="00CB58A4">
      <w:r>
        <w:t>And the respective graphic:</w:t>
      </w:r>
    </w:p>
    <w:p w:rsidR="00CB58A4" w:rsidRDefault="00CB58A4" w:rsidP="00CB58A4"/>
    <w:p w:rsidR="0056130F" w:rsidRDefault="00CB58A4" w:rsidP="0056130F">
      <w:pPr>
        <w:keepNext/>
      </w:pPr>
      <w:r>
        <w:rPr>
          <w:noProof/>
        </w:rPr>
        <w:lastRenderedPageBreak/>
        <w:drawing>
          <wp:inline distT="0" distB="0" distL="0" distR="0" wp14:anchorId="7731BAA1" wp14:editId="49D1A7E7">
            <wp:extent cx="5852160" cy="310896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B58A4" w:rsidRDefault="0056130F" w:rsidP="0056130F">
      <w:pPr>
        <w:pStyle w:val="Caption"/>
      </w:pPr>
      <w:bookmarkStart w:id="16" w:name="_Ref433881546"/>
      <w:r>
        <w:t xml:space="preserve">Figure </w:t>
      </w:r>
      <w:r w:rsidR="00782F87">
        <w:fldChar w:fldCharType="begin"/>
      </w:r>
      <w:r w:rsidR="00782F87">
        <w:instrText xml:space="preserve"> SEQ Figure \* ARABIC </w:instrText>
      </w:r>
      <w:r w:rsidR="00782F87">
        <w:fldChar w:fldCharType="separate"/>
      </w:r>
      <w:r w:rsidR="00644B76">
        <w:rPr>
          <w:noProof/>
        </w:rPr>
        <w:t>9</w:t>
      </w:r>
      <w:r w:rsidR="00782F87">
        <w:rPr>
          <w:noProof/>
        </w:rPr>
        <w:fldChar w:fldCharType="end"/>
      </w:r>
      <w:bookmarkEnd w:id="16"/>
      <w:r>
        <w:t>: Trend in Number of New HIV Cases by MSM &amp; IDU</w:t>
      </w:r>
    </w:p>
    <w:p w:rsidR="00CB58A4" w:rsidRDefault="00CB58A4" w:rsidP="00CB58A4"/>
    <w:p w:rsidR="007804EB" w:rsidRDefault="00CD0612" w:rsidP="00A437E4">
      <w:pPr>
        <w:ind w:firstLine="720"/>
      </w:pPr>
      <w:r>
        <w:fldChar w:fldCharType="begin"/>
      </w:r>
      <w:r>
        <w:instrText xml:space="preserve"> REF _Ref433881546 \h </w:instrText>
      </w:r>
      <w:r>
        <w:fldChar w:fldCharType="separate"/>
      </w:r>
      <w:r w:rsidR="00644B76">
        <w:t xml:space="preserve">Figure </w:t>
      </w:r>
      <w:r w:rsidR="00644B76">
        <w:rPr>
          <w:noProof/>
        </w:rPr>
        <w:t>9</w:t>
      </w:r>
      <w:r>
        <w:fldChar w:fldCharType="end"/>
      </w:r>
      <w:r w:rsidR="0043352D">
        <w:t xml:space="preserve"> </w:t>
      </w:r>
      <w:r w:rsidR="0005387C">
        <w:t xml:space="preserve">shows </w:t>
      </w:r>
      <w:r w:rsidR="007804EB">
        <w:t>an increasing trend</w:t>
      </w:r>
      <w:r w:rsidR="0005387C">
        <w:t xml:space="preserve"> in new cases among MSM across the study period. On the other hand, a</w:t>
      </w:r>
      <w:r w:rsidR="007804EB">
        <w:t xml:space="preserve"> decreasing trend is observed for the IDU group. In order to verify if these trends are statistical significant, we used a Poisson model for each group. </w:t>
      </w:r>
    </w:p>
    <w:p w:rsidR="00CD0612" w:rsidRDefault="00CD0612" w:rsidP="00CD0612">
      <w:pPr>
        <w:keepNext/>
      </w:pPr>
      <w:r w:rsidRPr="00CD0612">
        <w:rPr>
          <w:noProof/>
        </w:rPr>
        <w:lastRenderedPageBreak/>
        <w:drawing>
          <wp:inline distT="0" distB="0" distL="0" distR="0" wp14:anchorId="0B2314AD" wp14:editId="5BDCD676">
            <wp:extent cx="5852160" cy="5781439"/>
            <wp:effectExtent l="0" t="0" r="0" b="0"/>
            <wp:docPr id="5" name="Picture 5" descr="C:\Users\mmachin\Desktop\Git\proptest\newcasesM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machin\Desktop\Git\proptest\newcasesMS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2160" cy="5781439"/>
                    </a:xfrm>
                    <a:prstGeom prst="rect">
                      <a:avLst/>
                    </a:prstGeom>
                    <a:noFill/>
                    <a:ln>
                      <a:noFill/>
                    </a:ln>
                  </pic:spPr>
                </pic:pic>
              </a:graphicData>
            </a:graphic>
          </wp:inline>
        </w:drawing>
      </w:r>
    </w:p>
    <w:p w:rsidR="00CD0612" w:rsidRDefault="00CD0612" w:rsidP="00CD0612">
      <w:pPr>
        <w:pStyle w:val="Caption"/>
      </w:pPr>
      <w:bookmarkStart w:id="17" w:name="_Ref433881809"/>
      <w:r>
        <w:t xml:space="preserve">Figure </w:t>
      </w:r>
      <w:r w:rsidR="00782F87">
        <w:fldChar w:fldCharType="begin"/>
      </w:r>
      <w:r w:rsidR="00782F87">
        <w:instrText xml:space="preserve"> SEQ Figure \* ARABIC </w:instrText>
      </w:r>
      <w:r w:rsidR="00782F87">
        <w:fldChar w:fldCharType="separate"/>
      </w:r>
      <w:r w:rsidR="00644B76">
        <w:rPr>
          <w:noProof/>
        </w:rPr>
        <w:t>10</w:t>
      </w:r>
      <w:r w:rsidR="00782F87">
        <w:rPr>
          <w:noProof/>
        </w:rPr>
        <w:fldChar w:fldCharType="end"/>
      </w:r>
      <w:bookmarkEnd w:id="17"/>
      <w:r>
        <w:t>: Poisson Model for HIV New Cases for MSM</w:t>
      </w:r>
    </w:p>
    <w:p w:rsidR="00CD0612" w:rsidRDefault="00CD0612" w:rsidP="00CD0612"/>
    <w:p w:rsidR="00CD0612" w:rsidRDefault="00CD0612" w:rsidP="00CD0612">
      <w:pPr>
        <w:keepNext/>
      </w:pPr>
      <w:r w:rsidRPr="00CD0612">
        <w:rPr>
          <w:noProof/>
        </w:rPr>
        <w:lastRenderedPageBreak/>
        <w:drawing>
          <wp:inline distT="0" distB="0" distL="0" distR="0" wp14:anchorId="421C4DC0" wp14:editId="52DF9345">
            <wp:extent cx="5852160" cy="5869975"/>
            <wp:effectExtent l="0" t="0" r="0" b="0"/>
            <wp:docPr id="6" name="Picture 6" descr="C:\Users\mmachin\Desktop\Git\proptest\newcasesI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machin\Desktop\Git\proptest\newcasesIDU.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60" cy="5869975"/>
                    </a:xfrm>
                    <a:prstGeom prst="rect">
                      <a:avLst/>
                    </a:prstGeom>
                    <a:noFill/>
                    <a:ln>
                      <a:noFill/>
                    </a:ln>
                  </pic:spPr>
                </pic:pic>
              </a:graphicData>
            </a:graphic>
          </wp:inline>
        </w:drawing>
      </w:r>
    </w:p>
    <w:p w:rsidR="00CD0612" w:rsidRDefault="00CD0612" w:rsidP="00CD0612">
      <w:pPr>
        <w:pStyle w:val="Caption"/>
      </w:pPr>
      <w:bookmarkStart w:id="18" w:name="_Ref433882832"/>
      <w:r>
        <w:t xml:space="preserve">Figure </w:t>
      </w:r>
      <w:r w:rsidR="00782F87">
        <w:fldChar w:fldCharType="begin"/>
      </w:r>
      <w:r w:rsidR="00782F87">
        <w:instrText xml:space="preserve"> SEQ Figure \* ARABIC </w:instrText>
      </w:r>
      <w:r w:rsidR="00782F87">
        <w:fldChar w:fldCharType="separate"/>
      </w:r>
      <w:r w:rsidR="00644B76">
        <w:rPr>
          <w:noProof/>
        </w:rPr>
        <w:t>11</w:t>
      </w:r>
      <w:r w:rsidR="00782F87">
        <w:rPr>
          <w:noProof/>
        </w:rPr>
        <w:fldChar w:fldCharType="end"/>
      </w:r>
      <w:bookmarkEnd w:id="18"/>
      <w:r>
        <w:t>: Poisson Model for HIV New Cases for IDU</w:t>
      </w:r>
    </w:p>
    <w:p w:rsidR="008447FE" w:rsidRPr="008447FE" w:rsidRDefault="008447FE" w:rsidP="008447FE"/>
    <w:p w:rsidR="0043315B" w:rsidRDefault="008447FE" w:rsidP="007C4537">
      <w:pPr>
        <w:ind w:firstLine="720"/>
      </w:pPr>
      <w:r>
        <w:fldChar w:fldCharType="begin"/>
      </w:r>
      <w:r>
        <w:instrText xml:space="preserve"> REF _Ref433881809 \h </w:instrText>
      </w:r>
      <w:r>
        <w:fldChar w:fldCharType="separate"/>
      </w:r>
      <w:r w:rsidR="00644B76">
        <w:t xml:space="preserve">Figure </w:t>
      </w:r>
      <w:r w:rsidR="00644B76">
        <w:rPr>
          <w:noProof/>
        </w:rPr>
        <w:t>10</w:t>
      </w:r>
      <w:r>
        <w:fldChar w:fldCharType="end"/>
      </w:r>
      <w:r>
        <w:t xml:space="preserve"> shows statistical significant increase in number of new HIV cases for MSM of about 102% in 2014 when compared to 2003 (p-value &lt; 0.001). </w:t>
      </w:r>
      <w:r w:rsidR="00E02131">
        <w:t xml:space="preserve">Nevertheless, </w:t>
      </w:r>
      <w:r>
        <w:t xml:space="preserve">a </w:t>
      </w:r>
      <w:r w:rsidR="007C4537">
        <w:t xml:space="preserve">statistical significant </w:t>
      </w:r>
      <w:r>
        <w:t>decrease of about 88% in number of new HIV cases for IDU in 2014 when compared to 2003 has been observed</w:t>
      </w:r>
      <w:r w:rsidR="007C4537">
        <w:t xml:space="preserve"> (p-value &lt; 0.001)</w:t>
      </w:r>
      <w:r w:rsidR="00E02131">
        <w:t xml:space="preserve"> (</w:t>
      </w:r>
      <w:r w:rsidR="00E02131">
        <w:fldChar w:fldCharType="begin"/>
      </w:r>
      <w:r w:rsidR="00E02131">
        <w:instrText xml:space="preserve"> REF _Ref433882832 \h </w:instrText>
      </w:r>
      <w:r w:rsidR="00E02131">
        <w:fldChar w:fldCharType="separate"/>
      </w:r>
      <w:r w:rsidR="00644B76">
        <w:t xml:space="preserve">Figure </w:t>
      </w:r>
      <w:r w:rsidR="00644B76">
        <w:rPr>
          <w:noProof/>
        </w:rPr>
        <w:t>11</w:t>
      </w:r>
      <w:r w:rsidR="00E02131">
        <w:fldChar w:fldCharType="end"/>
      </w:r>
      <w:r w:rsidR="00E02131">
        <w:t>)</w:t>
      </w:r>
      <w:r w:rsidR="007C4537">
        <w:t xml:space="preserve">. These results support our hypothesis which try to explain the discrepancy of 30% in the number of deaths reported in the Puerto Rico Surveillance System when compared with the CDC mathematical model. It appear that a change in the burden of the decease has occurred. We can clearly observe an increasing trend in conjunction with a decreasing trend of HIV new cases for the MSM and IDU groups respectively. </w:t>
      </w:r>
      <w:r w:rsidR="007E0FF5">
        <w:t xml:space="preserve">Further investigation </w:t>
      </w:r>
      <w:r w:rsidR="007C4537">
        <w:t xml:space="preserve">using more </w:t>
      </w:r>
      <w:r w:rsidR="007C4537">
        <w:lastRenderedPageBreak/>
        <w:t xml:space="preserve">sophisticated analysis </w:t>
      </w:r>
      <w:r w:rsidR="007E0FF5">
        <w:t xml:space="preserve">will be needed in order to have a better insight of the behavior of HIV mortality in Puerto Rico. </w:t>
      </w:r>
      <w:r w:rsidR="007E0FF5">
        <w:br/>
      </w:r>
    </w:p>
    <w:sectPr w:rsidR="0043315B">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F87" w:rsidRDefault="00782F87" w:rsidP="005175FE">
      <w:pPr>
        <w:spacing w:before="0" w:after="0"/>
      </w:pPr>
      <w:r>
        <w:separator/>
      </w:r>
    </w:p>
  </w:endnote>
  <w:endnote w:type="continuationSeparator" w:id="0">
    <w:p w:rsidR="00782F87" w:rsidRDefault="00782F87" w:rsidP="005175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062427"/>
      <w:docPartObj>
        <w:docPartGallery w:val="Page Numbers (Bottom of Page)"/>
        <w:docPartUnique/>
      </w:docPartObj>
    </w:sdtPr>
    <w:sdtEndPr>
      <w:rPr>
        <w:noProof/>
      </w:rPr>
    </w:sdtEndPr>
    <w:sdtContent>
      <w:p w:rsidR="005175FE" w:rsidRDefault="005175FE">
        <w:pPr>
          <w:pStyle w:val="Footer"/>
          <w:jc w:val="center"/>
        </w:pPr>
        <w:r>
          <w:fldChar w:fldCharType="begin"/>
        </w:r>
        <w:r>
          <w:instrText xml:space="preserve"> PAGE   \* MERGEFORMAT </w:instrText>
        </w:r>
        <w:r>
          <w:fldChar w:fldCharType="separate"/>
        </w:r>
        <w:r w:rsidR="00644B76">
          <w:rPr>
            <w:noProof/>
          </w:rPr>
          <w:t>12</w:t>
        </w:r>
        <w:r>
          <w:rPr>
            <w:noProof/>
          </w:rPr>
          <w:fldChar w:fldCharType="end"/>
        </w:r>
      </w:p>
    </w:sdtContent>
  </w:sdt>
  <w:p w:rsidR="005175FE" w:rsidRDefault="005175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F87" w:rsidRDefault="00782F87" w:rsidP="005175FE">
      <w:pPr>
        <w:spacing w:before="0" w:after="0"/>
      </w:pPr>
      <w:r>
        <w:separator/>
      </w:r>
    </w:p>
  </w:footnote>
  <w:footnote w:type="continuationSeparator" w:id="0">
    <w:p w:rsidR="00782F87" w:rsidRDefault="00782F87" w:rsidP="005175FE">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27125E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0FA3116"/>
    <w:multiLevelType w:val="multilevel"/>
    <w:tmpl w:val="C4F45C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68D1"/>
    <w:rsid w:val="00011C8B"/>
    <w:rsid w:val="0005387C"/>
    <w:rsid w:val="000E54B4"/>
    <w:rsid w:val="000F13F4"/>
    <w:rsid w:val="001576FC"/>
    <w:rsid w:val="00173B16"/>
    <w:rsid w:val="00232454"/>
    <w:rsid w:val="0024442A"/>
    <w:rsid w:val="00250743"/>
    <w:rsid w:val="002F501A"/>
    <w:rsid w:val="003240F2"/>
    <w:rsid w:val="00331EB7"/>
    <w:rsid w:val="003573D4"/>
    <w:rsid w:val="00372148"/>
    <w:rsid w:val="003B1FB1"/>
    <w:rsid w:val="00424998"/>
    <w:rsid w:val="0043315B"/>
    <w:rsid w:val="0043352D"/>
    <w:rsid w:val="004457B0"/>
    <w:rsid w:val="0046419E"/>
    <w:rsid w:val="0047367C"/>
    <w:rsid w:val="004E29B3"/>
    <w:rsid w:val="005175FE"/>
    <w:rsid w:val="0056130F"/>
    <w:rsid w:val="00590D07"/>
    <w:rsid w:val="005D0E83"/>
    <w:rsid w:val="0061693B"/>
    <w:rsid w:val="00644B76"/>
    <w:rsid w:val="00730833"/>
    <w:rsid w:val="00741898"/>
    <w:rsid w:val="007804EB"/>
    <w:rsid w:val="00782F87"/>
    <w:rsid w:val="00784D58"/>
    <w:rsid w:val="00785794"/>
    <w:rsid w:val="007B249C"/>
    <w:rsid w:val="007B2A77"/>
    <w:rsid w:val="007C4537"/>
    <w:rsid w:val="007E0FF5"/>
    <w:rsid w:val="007E307E"/>
    <w:rsid w:val="007E5A81"/>
    <w:rsid w:val="008101CB"/>
    <w:rsid w:val="008447FE"/>
    <w:rsid w:val="008D6863"/>
    <w:rsid w:val="00932CA2"/>
    <w:rsid w:val="0096531D"/>
    <w:rsid w:val="00974AD8"/>
    <w:rsid w:val="0099375C"/>
    <w:rsid w:val="009D37B5"/>
    <w:rsid w:val="009E0461"/>
    <w:rsid w:val="00A06091"/>
    <w:rsid w:val="00A2561F"/>
    <w:rsid w:val="00A437E4"/>
    <w:rsid w:val="00A66AD4"/>
    <w:rsid w:val="00B54227"/>
    <w:rsid w:val="00B563E0"/>
    <w:rsid w:val="00B57C6C"/>
    <w:rsid w:val="00B628EF"/>
    <w:rsid w:val="00B86B75"/>
    <w:rsid w:val="00BC48D5"/>
    <w:rsid w:val="00C26244"/>
    <w:rsid w:val="00C3445D"/>
    <w:rsid w:val="00C36279"/>
    <w:rsid w:val="00CB58A4"/>
    <w:rsid w:val="00CC45A2"/>
    <w:rsid w:val="00CD0612"/>
    <w:rsid w:val="00D6368F"/>
    <w:rsid w:val="00E02131"/>
    <w:rsid w:val="00E315A3"/>
    <w:rsid w:val="00E35A4E"/>
    <w:rsid w:val="00E805F6"/>
    <w:rsid w:val="00E872E7"/>
    <w:rsid w:val="00F221CD"/>
    <w:rsid w:val="00FB4EE2"/>
    <w:rsid w:val="00FE1D6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CFB594-5301-49BF-B041-D6864843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32454"/>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232454"/>
    <w:rPr>
      <w:rFonts w:ascii="Segoe UI" w:hAnsi="Segoe UI" w:cs="Segoe UI"/>
      <w:sz w:val="18"/>
      <w:szCs w:val="18"/>
    </w:rPr>
  </w:style>
  <w:style w:type="paragraph" w:styleId="Caption">
    <w:name w:val="caption"/>
    <w:basedOn w:val="Normal"/>
    <w:next w:val="Normal"/>
    <w:unhideWhenUsed/>
    <w:rsid w:val="00232454"/>
    <w:pPr>
      <w:spacing w:before="0" w:after="200"/>
    </w:pPr>
    <w:rPr>
      <w:i/>
      <w:iCs/>
      <w:color w:val="1F497D" w:themeColor="text2"/>
      <w:sz w:val="18"/>
      <w:szCs w:val="18"/>
    </w:rPr>
  </w:style>
  <w:style w:type="table" w:styleId="TableGrid">
    <w:name w:val="Table Grid"/>
    <w:basedOn w:val="TableNormal"/>
    <w:rsid w:val="00A437E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A437E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nhideWhenUsed/>
    <w:rsid w:val="005175FE"/>
    <w:pPr>
      <w:tabs>
        <w:tab w:val="center" w:pos="4680"/>
        <w:tab w:val="right" w:pos="9360"/>
      </w:tabs>
      <w:spacing w:before="0" w:after="0"/>
    </w:pPr>
  </w:style>
  <w:style w:type="character" w:customStyle="1" w:styleId="HeaderChar">
    <w:name w:val="Header Char"/>
    <w:basedOn w:val="DefaultParagraphFont"/>
    <w:link w:val="Header"/>
    <w:rsid w:val="005175FE"/>
  </w:style>
  <w:style w:type="paragraph" w:styleId="Footer">
    <w:name w:val="footer"/>
    <w:basedOn w:val="Normal"/>
    <w:link w:val="FooterChar"/>
    <w:uiPriority w:val="99"/>
    <w:unhideWhenUsed/>
    <w:rsid w:val="005175FE"/>
    <w:pPr>
      <w:tabs>
        <w:tab w:val="center" w:pos="4680"/>
        <w:tab w:val="right" w:pos="9360"/>
      </w:tabs>
      <w:spacing w:before="0" w:after="0"/>
    </w:pPr>
  </w:style>
  <w:style w:type="character" w:customStyle="1" w:styleId="FooterChar">
    <w:name w:val="Footer Char"/>
    <w:basedOn w:val="DefaultParagraphFont"/>
    <w:link w:val="Footer"/>
    <w:uiPriority w:val="99"/>
    <w:rsid w:val="005175FE"/>
  </w:style>
  <w:style w:type="character" w:styleId="Hyperlink">
    <w:name w:val="Hyperlink"/>
    <w:basedOn w:val="DefaultParagraphFont"/>
    <w:rsid w:val="00B57C6C"/>
    <w:rPr>
      <w:color w:val="0000FF" w:themeColor="hyperlink"/>
      <w:u w:val="single"/>
    </w:rPr>
  </w:style>
  <w:style w:type="character" w:styleId="FollowedHyperlink">
    <w:name w:val="FollowedHyperlink"/>
    <w:basedOn w:val="DefaultParagraphFont"/>
    <w:rsid w:val="00B57C6C"/>
    <w:rPr>
      <w:color w:val="800080" w:themeColor="followedHyperlink"/>
      <w:u w:val="single"/>
    </w:rPr>
  </w:style>
  <w:style w:type="character" w:styleId="CommentReference">
    <w:name w:val="annotation reference"/>
    <w:basedOn w:val="DefaultParagraphFont"/>
    <w:semiHidden/>
    <w:unhideWhenUsed/>
    <w:rsid w:val="00B563E0"/>
    <w:rPr>
      <w:sz w:val="16"/>
      <w:szCs w:val="16"/>
    </w:rPr>
  </w:style>
  <w:style w:type="paragraph" w:styleId="CommentText">
    <w:name w:val="annotation text"/>
    <w:basedOn w:val="Normal"/>
    <w:link w:val="CommentTextChar"/>
    <w:semiHidden/>
    <w:unhideWhenUsed/>
    <w:rsid w:val="00B563E0"/>
    <w:rPr>
      <w:sz w:val="20"/>
      <w:szCs w:val="20"/>
    </w:rPr>
  </w:style>
  <w:style w:type="character" w:customStyle="1" w:styleId="CommentTextChar">
    <w:name w:val="Comment Text Char"/>
    <w:basedOn w:val="DefaultParagraphFont"/>
    <w:link w:val="CommentText"/>
    <w:semiHidden/>
    <w:rsid w:val="00B563E0"/>
    <w:rPr>
      <w:sz w:val="20"/>
      <w:szCs w:val="20"/>
    </w:rPr>
  </w:style>
  <w:style w:type="paragraph" w:styleId="CommentSubject">
    <w:name w:val="annotation subject"/>
    <w:basedOn w:val="CommentText"/>
    <w:next w:val="CommentText"/>
    <w:link w:val="CommentSubjectChar"/>
    <w:semiHidden/>
    <w:unhideWhenUsed/>
    <w:rsid w:val="00B563E0"/>
    <w:rPr>
      <w:b/>
      <w:bCs/>
    </w:rPr>
  </w:style>
  <w:style w:type="character" w:customStyle="1" w:styleId="CommentSubjectChar">
    <w:name w:val="Comment Subject Char"/>
    <w:basedOn w:val="CommentTextChar"/>
    <w:link w:val="CommentSubject"/>
    <w:semiHidden/>
    <w:rsid w:val="00B563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02201">
      <w:bodyDiv w:val="1"/>
      <w:marLeft w:val="0"/>
      <w:marRight w:val="0"/>
      <w:marTop w:val="0"/>
      <w:marBottom w:val="0"/>
      <w:divBdr>
        <w:top w:val="none" w:sz="0" w:space="0" w:color="auto"/>
        <w:left w:val="none" w:sz="0" w:space="0" w:color="auto"/>
        <w:bottom w:val="none" w:sz="0" w:space="0" w:color="auto"/>
        <w:right w:val="none" w:sz="0" w:space="0" w:color="auto"/>
      </w:divBdr>
    </w:div>
    <w:div w:id="185293224">
      <w:bodyDiv w:val="1"/>
      <w:marLeft w:val="0"/>
      <w:marRight w:val="0"/>
      <w:marTop w:val="0"/>
      <w:marBottom w:val="0"/>
      <w:divBdr>
        <w:top w:val="none" w:sz="0" w:space="0" w:color="auto"/>
        <w:left w:val="none" w:sz="0" w:space="0" w:color="auto"/>
        <w:bottom w:val="none" w:sz="0" w:space="0" w:color="auto"/>
        <w:right w:val="none" w:sz="0" w:space="0" w:color="auto"/>
      </w:divBdr>
    </w:div>
    <w:div w:id="713625686">
      <w:bodyDiv w:val="1"/>
      <w:marLeft w:val="0"/>
      <w:marRight w:val="0"/>
      <w:marTop w:val="0"/>
      <w:marBottom w:val="0"/>
      <w:divBdr>
        <w:top w:val="none" w:sz="0" w:space="0" w:color="auto"/>
        <w:left w:val="none" w:sz="0" w:space="0" w:color="auto"/>
        <w:bottom w:val="none" w:sz="0" w:space="0" w:color="auto"/>
        <w:right w:val="none" w:sz="0" w:space="0" w:color="auto"/>
      </w:divBdr>
    </w:div>
    <w:div w:id="748700223">
      <w:bodyDiv w:val="1"/>
      <w:marLeft w:val="0"/>
      <w:marRight w:val="0"/>
      <w:marTop w:val="0"/>
      <w:marBottom w:val="0"/>
      <w:divBdr>
        <w:top w:val="none" w:sz="0" w:space="0" w:color="auto"/>
        <w:left w:val="none" w:sz="0" w:space="0" w:color="auto"/>
        <w:bottom w:val="none" w:sz="0" w:space="0" w:color="auto"/>
        <w:right w:val="none" w:sz="0" w:space="0" w:color="auto"/>
      </w:divBdr>
    </w:div>
    <w:div w:id="885023330">
      <w:bodyDiv w:val="1"/>
      <w:marLeft w:val="0"/>
      <w:marRight w:val="0"/>
      <w:marTop w:val="0"/>
      <w:marBottom w:val="0"/>
      <w:divBdr>
        <w:top w:val="none" w:sz="0" w:space="0" w:color="auto"/>
        <w:left w:val="none" w:sz="0" w:space="0" w:color="auto"/>
        <w:bottom w:val="none" w:sz="0" w:space="0" w:color="auto"/>
        <w:right w:val="none" w:sz="0" w:space="0" w:color="auto"/>
      </w:divBdr>
    </w:div>
    <w:div w:id="1236892275">
      <w:bodyDiv w:val="1"/>
      <w:marLeft w:val="0"/>
      <w:marRight w:val="0"/>
      <w:marTop w:val="0"/>
      <w:marBottom w:val="0"/>
      <w:divBdr>
        <w:top w:val="none" w:sz="0" w:space="0" w:color="auto"/>
        <w:left w:val="none" w:sz="0" w:space="0" w:color="auto"/>
        <w:bottom w:val="none" w:sz="0" w:space="0" w:color="auto"/>
        <w:right w:val="none" w:sz="0" w:space="0" w:color="auto"/>
      </w:divBdr>
    </w:div>
    <w:div w:id="1278954360">
      <w:bodyDiv w:val="1"/>
      <w:marLeft w:val="0"/>
      <w:marRight w:val="0"/>
      <w:marTop w:val="0"/>
      <w:marBottom w:val="0"/>
      <w:divBdr>
        <w:top w:val="none" w:sz="0" w:space="0" w:color="auto"/>
        <w:left w:val="none" w:sz="0" w:space="0" w:color="auto"/>
        <w:bottom w:val="none" w:sz="0" w:space="0" w:color="auto"/>
        <w:right w:val="none" w:sz="0" w:space="0" w:color="auto"/>
      </w:divBdr>
    </w:div>
    <w:div w:id="1545558068">
      <w:bodyDiv w:val="1"/>
      <w:marLeft w:val="0"/>
      <w:marRight w:val="0"/>
      <w:marTop w:val="0"/>
      <w:marBottom w:val="0"/>
      <w:divBdr>
        <w:top w:val="none" w:sz="0" w:space="0" w:color="auto"/>
        <w:left w:val="none" w:sz="0" w:space="0" w:color="auto"/>
        <w:bottom w:val="none" w:sz="0" w:space="0" w:color="auto"/>
        <w:right w:val="none" w:sz="0" w:space="0" w:color="auto"/>
      </w:divBdr>
    </w:div>
    <w:div w:id="1674139929">
      <w:bodyDiv w:val="1"/>
      <w:marLeft w:val="0"/>
      <w:marRight w:val="0"/>
      <w:marTop w:val="0"/>
      <w:marBottom w:val="0"/>
      <w:divBdr>
        <w:top w:val="none" w:sz="0" w:space="0" w:color="auto"/>
        <w:left w:val="none" w:sz="0" w:space="0" w:color="auto"/>
        <w:bottom w:val="none" w:sz="0" w:space="0" w:color="auto"/>
        <w:right w:val="none" w:sz="0" w:space="0" w:color="auto"/>
      </w:divBdr>
    </w:div>
    <w:div w:id="1695619443">
      <w:bodyDiv w:val="1"/>
      <w:marLeft w:val="0"/>
      <w:marRight w:val="0"/>
      <w:marTop w:val="0"/>
      <w:marBottom w:val="0"/>
      <w:divBdr>
        <w:top w:val="none" w:sz="0" w:space="0" w:color="auto"/>
        <w:left w:val="none" w:sz="0" w:space="0" w:color="auto"/>
        <w:bottom w:val="none" w:sz="0" w:space="0" w:color="auto"/>
        <w:right w:val="none" w:sz="0" w:space="0" w:color="auto"/>
      </w:divBdr>
    </w:div>
    <w:div w:id="19117736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canner\Desktop\Git\proptest\PercentChangeOvera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canner\Desktop\Git\proptest\PercentChangeOveral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machin\Desktop\Git\proptest\PercentChangeOveral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Trend in</a:t>
            </a:r>
            <a:r>
              <a:rPr lang="en-US" sz="1200" b="1" baseline="0"/>
              <a:t> Number of Deaths, HIV Surveillance System, Puerto Rico 2003-2014</a:t>
            </a:r>
            <a:endParaRPr lang="en-US" sz="1200" b="1"/>
          </a:p>
        </c:rich>
      </c:tx>
      <c:layout>
        <c:manualLayout>
          <c:xMode val="edge"/>
          <c:yMode val="edge"/>
          <c:x val="0.11795260789734249"/>
          <c:y val="2.9113232570051738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'Graficas #Muertes'!$B$2</c:f>
              <c:strCache>
                <c:ptCount val="1"/>
                <c:pt idx="0">
                  <c:v>Deaths</c:v>
                </c:pt>
              </c:strCache>
            </c:strRef>
          </c:tx>
          <c:spPr>
            <a:ln w="28575" cap="rnd">
              <a:solidFill>
                <a:schemeClr val="accent1"/>
              </a:solidFill>
              <a:round/>
            </a:ln>
            <a:effectLst/>
          </c:spPr>
          <c:marker>
            <c:symbol val="none"/>
          </c:marker>
          <c:cat>
            <c:numRef>
              <c:f>'Graficas #Muertes'!$A$3:$A$14</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'Graficas #Muertes'!$B$3:$B$14</c:f>
              <c:numCache>
                <c:formatCode>General</c:formatCode>
                <c:ptCount val="12"/>
                <c:pt idx="0">
                  <c:v>775</c:v>
                </c:pt>
                <c:pt idx="1">
                  <c:v>784</c:v>
                </c:pt>
                <c:pt idx="2">
                  <c:v>849</c:v>
                </c:pt>
                <c:pt idx="3">
                  <c:v>771</c:v>
                </c:pt>
                <c:pt idx="4">
                  <c:v>664</c:v>
                </c:pt>
                <c:pt idx="5">
                  <c:v>685</c:v>
                </c:pt>
                <c:pt idx="6">
                  <c:v>673</c:v>
                </c:pt>
                <c:pt idx="7">
                  <c:v>579</c:v>
                </c:pt>
                <c:pt idx="8">
                  <c:v>575</c:v>
                </c:pt>
                <c:pt idx="9">
                  <c:v>479</c:v>
                </c:pt>
                <c:pt idx="10">
                  <c:v>478</c:v>
                </c:pt>
                <c:pt idx="11">
                  <c:v>418</c:v>
                </c:pt>
              </c:numCache>
            </c:numRef>
          </c:val>
          <c:smooth val="0"/>
        </c:ser>
        <c:dLbls>
          <c:showLegendKey val="0"/>
          <c:showVal val="0"/>
          <c:showCatName val="0"/>
          <c:showSerName val="0"/>
          <c:showPercent val="0"/>
          <c:showBubbleSize val="0"/>
        </c:dLbls>
        <c:smooth val="0"/>
        <c:axId val="337349224"/>
        <c:axId val="337348048"/>
      </c:lineChart>
      <c:catAx>
        <c:axId val="33734922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a:t>Year of Death</a:t>
                </a:r>
              </a:p>
            </c:rich>
          </c:tx>
          <c:layout>
            <c:manualLayout>
              <c:xMode val="edge"/>
              <c:yMode val="edge"/>
              <c:x val="0.44989037456594116"/>
              <c:y val="0.9207150716263204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337348048"/>
        <c:crosses val="autoZero"/>
        <c:auto val="1"/>
        <c:lblAlgn val="ctr"/>
        <c:lblOffset val="100"/>
        <c:noMultiLvlLbl val="0"/>
      </c:catAx>
      <c:valAx>
        <c:axId val="3373480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a:t>#Deaths</a:t>
                </a:r>
              </a:p>
            </c:rich>
          </c:tx>
          <c:layout>
            <c:manualLayout>
              <c:xMode val="edge"/>
              <c:yMode val="edge"/>
              <c:x val="9.4836462749848596E-3"/>
              <c:y val="0.3732693740502112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337349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i="0" u="none" strike="noStrike" baseline="0">
                <a:effectLst/>
              </a:rPr>
              <a:t>Trend in Number of Deaths by Mode </a:t>
            </a:r>
            <a:r>
              <a:rPr lang="en-US" sz="1200" b="1" i="0" baseline="0">
                <a:effectLst/>
              </a:rPr>
              <a:t>of Transmission, HIV Surveillance System, Puerto Rico 2003-2014</a:t>
            </a:r>
            <a:endParaRPr lang="en-US" sz="120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96318729389595"/>
          <c:y val="0.2004998958550302"/>
          <c:w val="0.85353253920183059"/>
          <c:h val="0.62389003603251947"/>
        </c:manualLayout>
      </c:layout>
      <c:lineChart>
        <c:grouping val="standard"/>
        <c:varyColors val="0"/>
        <c:ser>
          <c:idx val="0"/>
          <c:order val="0"/>
          <c:tx>
            <c:strRef>
              <c:f>'Graficas #Muertes'!$A$18</c:f>
              <c:strCache>
                <c:ptCount val="1"/>
                <c:pt idx="0">
                  <c:v>MSM</c:v>
                </c:pt>
              </c:strCache>
            </c:strRef>
          </c:tx>
          <c:spPr>
            <a:ln w="28575" cap="rnd">
              <a:solidFill>
                <a:schemeClr val="accent1"/>
              </a:solidFill>
              <a:round/>
            </a:ln>
            <a:effectLst/>
          </c:spPr>
          <c:marker>
            <c:symbol val="none"/>
          </c:marker>
          <c:cat>
            <c:numRef>
              <c:f>'Graficas #Muertes'!$A$20:$A$31</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'Graficas #Muertes'!$B$20:$B$31</c:f>
              <c:numCache>
                <c:formatCode>General</c:formatCode>
                <c:ptCount val="12"/>
                <c:pt idx="0">
                  <c:v>91</c:v>
                </c:pt>
                <c:pt idx="1">
                  <c:v>105</c:v>
                </c:pt>
                <c:pt idx="2">
                  <c:v>93</c:v>
                </c:pt>
                <c:pt idx="3">
                  <c:v>90</c:v>
                </c:pt>
                <c:pt idx="4">
                  <c:v>84</c:v>
                </c:pt>
                <c:pt idx="5">
                  <c:v>86</c:v>
                </c:pt>
                <c:pt idx="6">
                  <c:v>90</c:v>
                </c:pt>
                <c:pt idx="7">
                  <c:v>69</c:v>
                </c:pt>
                <c:pt idx="8">
                  <c:v>80</c:v>
                </c:pt>
                <c:pt idx="9">
                  <c:v>57</c:v>
                </c:pt>
                <c:pt idx="10">
                  <c:v>73</c:v>
                </c:pt>
                <c:pt idx="11">
                  <c:v>74</c:v>
                </c:pt>
              </c:numCache>
            </c:numRef>
          </c:val>
          <c:smooth val="0"/>
        </c:ser>
        <c:ser>
          <c:idx val="1"/>
          <c:order val="1"/>
          <c:tx>
            <c:strRef>
              <c:f>'Graficas #Muertes'!$A$34</c:f>
              <c:strCache>
                <c:ptCount val="1"/>
                <c:pt idx="0">
                  <c:v>IDU</c:v>
                </c:pt>
              </c:strCache>
            </c:strRef>
          </c:tx>
          <c:spPr>
            <a:ln w="28575" cap="rnd">
              <a:solidFill>
                <a:schemeClr val="accent2"/>
              </a:solidFill>
              <a:round/>
            </a:ln>
            <a:effectLst/>
          </c:spPr>
          <c:marker>
            <c:symbol val="none"/>
          </c:marker>
          <c:val>
            <c:numRef>
              <c:f>'Graficas #Muertes'!$B$36:$B$47</c:f>
              <c:numCache>
                <c:formatCode>General</c:formatCode>
                <c:ptCount val="12"/>
                <c:pt idx="0">
                  <c:v>405</c:v>
                </c:pt>
                <c:pt idx="1">
                  <c:v>388</c:v>
                </c:pt>
                <c:pt idx="2">
                  <c:v>454</c:v>
                </c:pt>
                <c:pt idx="3">
                  <c:v>390</c:v>
                </c:pt>
                <c:pt idx="4">
                  <c:v>318</c:v>
                </c:pt>
                <c:pt idx="5">
                  <c:v>338</c:v>
                </c:pt>
                <c:pt idx="6">
                  <c:v>299</c:v>
                </c:pt>
                <c:pt idx="7">
                  <c:v>261</c:v>
                </c:pt>
                <c:pt idx="8">
                  <c:v>268</c:v>
                </c:pt>
                <c:pt idx="9">
                  <c:v>211</c:v>
                </c:pt>
                <c:pt idx="10">
                  <c:v>194</c:v>
                </c:pt>
                <c:pt idx="11">
                  <c:v>158</c:v>
                </c:pt>
              </c:numCache>
            </c:numRef>
          </c:val>
          <c:smooth val="0"/>
        </c:ser>
        <c:dLbls>
          <c:showLegendKey val="0"/>
          <c:showVal val="0"/>
          <c:showCatName val="0"/>
          <c:showSerName val="0"/>
          <c:showPercent val="0"/>
          <c:showBubbleSize val="0"/>
        </c:dLbls>
        <c:smooth val="0"/>
        <c:axId val="337346480"/>
        <c:axId val="400262120"/>
      </c:lineChart>
      <c:catAx>
        <c:axId val="33734648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a:t>Year of Death</a:t>
                </a:r>
              </a:p>
            </c:rich>
          </c:tx>
          <c:layout>
            <c:manualLayout>
              <c:xMode val="edge"/>
              <c:yMode val="edge"/>
              <c:x val="0.44423221688352177"/>
              <c:y val="0.9334560764837925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00262120"/>
        <c:crosses val="autoZero"/>
        <c:auto val="1"/>
        <c:lblAlgn val="ctr"/>
        <c:lblOffset val="100"/>
        <c:noMultiLvlLbl val="0"/>
      </c:catAx>
      <c:valAx>
        <c:axId val="400262120"/>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sz="1000" b="1"/>
                  <a:t>#Deaths</a:t>
                </a:r>
              </a:p>
            </c:rich>
          </c:tx>
          <c:layout>
            <c:manualLayout>
              <c:xMode val="edge"/>
              <c:yMode val="edge"/>
              <c:x val="1.0607400768004451E-2"/>
              <c:y val="0.35551797531955476"/>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337346480"/>
        <c:crosses val="autoZero"/>
        <c:crossBetween val="between"/>
      </c:valAx>
      <c:spPr>
        <a:noFill/>
        <a:ln>
          <a:noFill/>
        </a:ln>
        <a:effectLst/>
      </c:spPr>
    </c:plotArea>
    <c:legend>
      <c:legendPos val="b"/>
      <c:layout>
        <c:manualLayout>
          <c:xMode val="edge"/>
          <c:yMode val="edge"/>
          <c:x val="0.70716299885591227"/>
          <c:y val="0.32117882265341707"/>
          <c:w val="0.23372984012177153"/>
          <c:h val="5.5219297735493555E-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Trend in Number of New</a:t>
            </a:r>
            <a:r>
              <a:rPr lang="en-US" sz="1200" b="1" baseline="0"/>
              <a:t> Cases by Mode of Transmission, HIV Surveillance System, Puerto Rico 2003-2014 </a:t>
            </a:r>
            <a:endParaRPr lang="en-US" sz="1200" b="1"/>
          </a:p>
        </c:rich>
      </c:tx>
      <c:layout>
        <c:manualLayout>
          <c:xMode val="edge"/>
          <c:yMode val="edge"/>
          <c:x val="0.1492597329953726"/>
          <c:y val="2.5259355906313646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MSM</c:v>
          </c:tx>
          <c:spPr>
            <a:ln w="28575" cap="rnd">
              <a:solidFill>
                <a:schemeClr val="accent1"/>
              </a:solidFill>
              <a:round/>
            </a:ln>
            <a:effectLst/>
          </c:spPr>
          <c:marker>
            <c:symbol val="none"/>
          </c:marker>
          <c:cat>
            <c:numRef>
              <c:f>'PercentChangeMSM&amp;IDU'!$A$34:$A$45</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'PercentChangeMSM&amp;IDU'!$B$34:$B$45</c:f>
              <c:numCache>
                <c:formatCode>General</c:formatCode>
                <c:ptCount val="12"/>
                <c:pt idx="0">
                  <c:v>127</c:v>
                </c:pt>
                <c:pt idx="1">
                  <c:v>143</c:v>
                </c:pt>
                <c:pt idx="2">
                  <c:v>173</c:v>
                </c:pt>
                <c:pt idx="3">
                  <c:v>172</c:v>
                </c:pt>
                <c:pt idx="4">
                  <c:v>190</c:v>
                </c:pt>
                <c:pt idx="5">
                  <c:v>214</c:v>
                </c:pt>
                <c:pt idx="6">
                  <c:v>224</c:v>
                </c:pt>
                <c:pt idx="7">
                  <c:v>240</c:v>
                </c:pt>
                <c:pt idx="8">
                  <c:v>244</c:v>
                </c:pt>
                <c:pt idx="9">
                  <c:v>271</c:v>
                </c:pt>
                <c:pt idx="10">
                  <c:v>270</c:v>
                </c:pt>
                <c:pt idx="11">
                  <c:v>257</c:v>
                </c:pt>
              </c:numCache>
            </c:numRef>
          </c:val>
          <c:smooth val="0"/>
        </c:ser>
        <c:ser>
          <c:idx val="1"/>
          <c:order val="1"/>
          <c:tx>
            <c:v>IDU</c:v>
          </c:tx>
          <c:spPr>
            <a:ln w="28575" cap="rnd">
              <a:solidFill>
                <a:schemeClr val="accent2"/>
              </a:solidFill>
              <a:round/>
            </a:ln>
            <a:effectLst/>
          </c:spPr>
          <c:marker>
            <c:symbol val="none"/>
          </c:marker>
          <c:val>
            <c:numRef>
              <c:f>'PercentChangeMSM&amp;IDU'!$B$46:$B$57</c:f>
              <c:numCache>
                <c:formatCode>General</c:formatCode>
                <c:ptCount val="12"/>
                <c:pt idx="0">
                  <c:v>267</c:v>
                </c:pt>
                <c:pt idx="1">
                  <c:v>222</c:v>
                </c:pt>
                <c:pt idx="2">
                  <c:v>240</c:v>
                </c:pt>
                <c:pt idx="3">
                  <c:v>205</c:v>
                </c:pt>
                <c:pt idx="4">
                  <c:v>162</c:v>
                </c:pt>
                <c:pt idx="5">
                  <c:v>185</c:v>
                </c:pt>
                <c:pt idx="6">
                  <c:v>126</c:v>
                </c:pt>
                <c:pt idx="7">
                  <c:v>102</c:v>
                </c:pt>
                <c:pt idx="8">
                  <c:v>90</c:v>
                </c:pt>
                <c:pt idx="9">
                  <c:v>85</c:v>
                </c:pt>
                <c:pt idx="10">
                  <c:v>88</c:v>
                </c:pt>
                <c:pt idx="11">
                  <c:v>60</c:v>
                </c:pt>
              </c:numCache>
            </c:numRef>
          </c:val>
          <c:smooth val="0"/>
        </c:ser>
        <c:dLbls>
          <c:showLegendKey val="0"/>
          <c:showVal val="0"/>
          <c:showCatName val="0"/>
          <c:showSerName val="0"/>
          <c:showPercent val="0"/>
          <c:showBubbleSize val="0"/>
        </c:dLbls>
        <c:smooth val="0"/>
        <c:axId val="400261336"/>
        <c:axId val="400262512"/>
      </c:lineChart>
      <c:catAx>
        <c:axId val="40026133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Year of Diagnosis</a:t>
                </a:r>
              </a:p>
            </c:rich>
          </c:tx>
          <c:layout>
            <c:manualLayout>
              <c:xMode val="edge"/>
              <c:yMode val="edge"/>
              <c:x val="0.42232387121505488"/>
              <c:y val="0.9162650931044515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262512"/>
        <c:crosses val="autoZero"/>
        <c:auto val="1"/>
        <c:lblAlgn val="ctr"/>
        <c:lblOffset val="100"/>
        <c:noMultiLvlLbl val="0"/>
      </c:catAx>
      <c:valAx>
        <c:axId val="400262512"/>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#New Cases</a:t>
                </a:r>
              </a:p>
            </c:rich>
          </c:tx>
          <c:layout>
            <c:manualLayout>
              <c:xMode val="edge"/>
              <c:yMode val="edge"/>
              <c:x val="9.9354197714853452E-3"/>
              <c:y val="0.36475703284114047"/>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261336"/>
        <c:crosses val="autoZero"/>
        <c:crossBetween val="between"/>
      </c:valAx>
      <c:spPr>
        <a:noFill/>
        <a:ln>
          <a:noFill/>
        </a:ln>
        <a:effectLst/>
      </c:spPr>
    </c:plotArea>
    <c:legend>
      <c:legendPos val="r"/>
      <c:layout>
        <c:manualLayout>
          <c:xMode val="edge"/>
          <c:yMode val="edge"/>
          <c:x val="0.82336282671697292"/>
          <c:y val="0.39024014461427609"/>
          <c:w val="0.14178491360454942"/>
          <c:h val="0.13050364143875473"/>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4C3BE-BA78-445A-8886-AE95EA1D3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Preliminary Mortality Analysis</vt:lpstr>
    </vt:vector>
  </TitlesOfParts>
  <Company/>
  <LinksUpToDate>false</LinksUpToDate>
  <CharactersWithSpaces>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Mortality Analysis</dc:title>
  <dc:creator>Mark Machin</dc:creator>
  <cp:lastModifiedBy>mmachin</cp:lastModifiedBy>
  <cp:revision>88</cp:revision>
  <dcterms:created xsi:type="dcterms:W3CDTF">2015-10-26T00:00:00Z</dcterms:created>
  <dcterms:modified xsi:type="dcterms:W3CDTF">2015-10-30T14:47:00Z</dcterms:modified>
</cp:coreProperties>
</file>