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Framework Change</w:t>
      </w:r>
    </w:p>
    <w:p>
      <w:pPr>
        <w:spacing w:after="200"/>
        <w:jc w:val="center"/>
      </w:pPr>
      <w:r>
        <w:rPr>
          <w:rFonts w:ascii="Arial" w:cs="Arial" w:eastAsia="Arial" w:hAnsi="Arial"/>
          <w:b/>
          <w:bCs/>
          <w:color w:val="1B4F72"/>
          <w:sz w:val="52"/>
          <w:szCs w:val="52"/>
        </w:rPr>
        <w:t xml:space="preserve">Governance Process</w:t>
      </w:r>
    </w:p>
    <w:p>
      <w:pPr>
        <w:spacing w:after="600"/>
        <w:jc w:val="center"/>
      </w:pPr>
      <w:r>
        <w:rPr>
          <w:rFonts w:ascii="Arial" w:cs="Arial" w:eastAsia="Arial" w:hAnsi="Arial"/>
          <w:color w:val="5D6D7E"/>
          <w:sz w:val="24"/>
          <w:szCs w:val="24"/>
        </w:rPr>
        <w:t xml:space="preserve">Policy Update Lifecycle for Regulatory and Framework Alignment</w:t>
      </w:r>
    </w:p>
    <w:p>
      <w:pPr>
        <w:pBdr>
          <w:top w:val="single" w:color="1B4F72" w:sz="6" w:space="12"/>
        </w:pBdr>
        <w:spacing w:after="100" w:before="200"/>
        <w:jc w:val="center"/>
      </w:pPr>
      <w:r>
        <w:rPr>
          <w:rFonts w:ascii="Arial" w:cs="Arial" w:eastAsia="Arial" w:hAnsi="Arial"/>
          <w:color w:val="5D6D7E"/>
          <w:sz w:val="28"/>
          <w:szCs w:val="28"/>
        </w:rPr>
        <w:t xml:space="preserve">[Organisation Name]</w:t>
      </w:r>
    </w:p>
    <w:p>
      <w:pPr>
        <w:spacing w:after="100"/>
        <w:jc w:val="center"/>
      </w:pPr>
      <w:r>
        <w:rPr>
          <w:rFonts w:ascii="Arial" w:cs="Arial" w:eastAsia="Arial" w:hAnsi="Arial"/>
          <w:color w:val="5D6D7E"/>
          <w:sz w:val="22"/>
          <w:szCs w:val="22"/>
        </w:rPr>
        <w:t xml:space="preserve">UK Financial Services</w:t>
      </w:r>
    </w:p>
    <w:p>
      <w:pPr>
        <w:jc w:val="center"/>
      </w:pPr>
      <w:r>
        <w:rPr>
          <w:rFonts w:ascii="Arial" w:cs="Arial" w:eastAsia="Arial" w:hAnsi="Arial"/>
          <w:color w:val="5D6D7E"/>
          <w:sz w:val="22"/>
          <w:szCs w:val="22"/>
        </w:rPr>
        <w:t xml:space="preserve">Version 1.0 | [Date]</w:t>
      </w:r>
    </w:p>
    <w:p>
      <w:pPr>
        <w:spacing w:before="20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Document Title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 Change Governance Process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Chief Information Security Officer (CISO)</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Approved By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Security Governance Committee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Review Date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+ 12 months]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Applicable Frameworks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NIST CSF 2.0 (primary); extensible to DORA, PRA/FCA, ISO 27001</w:t>
            </w:r>
          </w:p>
        </w:tc>
      </w:tr>
    </w:tbl>
    <w:p>
      <w:pPr>
        <w:sectPr>
          <w:pgSz w:w="11906" w:h="16838"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rFonts w:ascii="Arial" w:cs="Arial" w:eastAsia="Arial" w:hAnsi="Arial"/>
          <w:sz w:val="22"/>
          <w:szCs w:val="22"/>
        </w:rPr>
        <w:t xml:space="preserve">This document establishes the governance process by which [Organisation Name] systematically detects, assesses, and responds to changes in cybersecurity frameworks, regulatory expectations, and industry standards that impact the organisation’s information security policy framework.</w:t>
      </w:r>
    </w:p>
    <w:p>
      <w:pPr>
        <w:spacing w:after="120"/>
      </w:pPr>
      <w:r>
        <w:rPr>
          <w:rFonts w:ascii="Arial" w:cs="Arial" w:eastAsia="Arial" w:hAnsi="Arial"/>
          <w:sz w:val="22"/>
          <w:szCs w:val="22"/>
        </w:rPr>
        <w:t xml:space="preserve">The process ensures that policies remain current, aligned to the latest framework requirements, and consistent with the organisation’s regulatory obligations under PRA supervisory expectations, FCA requirements, and any other applicable regulatory regimes.</w:t>
      </w:r>
    </w:p>
    <w:p>
      <w:pPr>
        <w:pStyle w:val="Heading1"/>
      </w:pPr>
      <w:r>
        <w:t xml:space="preserve">2. Scope</w:t>
      </w:r>
    </w:p>
    <w:p>
      <w:pPr>
        <w:spacing w:after="120"/>
      </w:pPr>
      <w:r>
        <w:rPr>
          <w:rFonts w:ascii="Arial" w:cs="Arial" w:eastAsia="Arial" w:hAnsi="Arial"/>
          <w:sz w:val="22"/>
          <w:szCs w:val="22"/>
        </w:rPr>
        <w:t xml:space="preserve">This process applies to all cybersecurity and information security policies maintained by [Organisation Name] that reference or align to external frameworks and regulatory expectations. The primary framework in scope is NIST Cybersecurity Framework (CSF) 2.0, with the process designed to be extensible to additional frameworks including DORA, ISO 27001, OWASP SAMM, PRA/FCA supervisory statements, and NIST SP 800-53.</w:t>
      </w:r>
    </w:p>
    <w:p>
      <w:pPr>
        <w:spacing w:after="120"/>
      </w:pPr>
      <w:r>
        <w:rPr>
          <w:rFonts w:ascii="Arial" w:cs="Arial" w:eastAsia="Arial" w:hAnsi="Arial"/>
          <w:sz w:val="22"/>
          <w:szCs w:val="22"/>
        </w:rPr>
        <w:t xml:space="preserve">The process covers the full lifecycle from detection of a framework change through to assurance that updated policies have been embedded operationally.</w:t>
      </w:r>
    </w:p>
    <w:p>
      <w:pPr>
        <w:pStyle w:val="Heading1"/>
      </w:pPr>
      <w:r>
        <w:t xml:space="preserve">3. Governance Principles</w:t>
      </w:r>
    </w:p>
    <w:p>
      <w:pPr>
        <w:spacing w:after="120"/>
      </w:pPr>
      <w:r>
        <w:rPr>
          <w:rFonts w:ascii="Arial" w:cs="Arial" w:eastAsia="Arial" w:hAnsi="Arial"/>
          <w:b/>
          <w:bCs/>
          <w:sz w:val="22"/>
          <w:szCs w:val="22"/>
        </w:rPr>
        <w:t xml:space="preserve">Separation of duties: </w:t>
      </w:r>
      <w:r>
        <w:rPr>
          <w:rFonts w:ascii="Arial" w:cs="Arial" w:eastAsia="Arial" w:hAnsi="Arial"/>
          <w:sz w:val="22"/>
          <w:szCs w:val="22"/>
        </w:rPr>
        <w:t xml:space="preserve">The team that detects and triages framework changes is not the same body that approves policy updates. Detection and triage are performed by the GRC function; approval authority sits with the Information Security Governance Committee.</w:t>
      </w:r>
    </w:p>
    <w:p>
      <w:pPr>
        <w:spacing w:after="120"/>
      </w:pPr>
      <w:r>
        <w:rPr>
          <w:rFonts w:ascii="Arial" w:cs="Arial" w:eastAsia="Arial" w:hAnsi="Arial"/>
          <w:b/>
          <w:bCs/>
          <w:sz w:val="22"/>
          <w:szCs w:val="22"/>
        </w:rPr>
        <w:t xml:space="preserve">Tiered escalation: </w:t>
      </w:r>
      <w:r>
        <w:rPr>
          <w:rFonts w:ascii="Arial" w:cs="Arial" w:eastAsia="Arial" w:hAnsi="Arial"/>
          <w:sz w:val="22"/>
          <w:szCs w:val="22"/>
        </w:rPr>
        <w:t xml:space="preserve">All framework changes are logged in the change register, but only significant changes require governance board review. Low-impact changes are assessed and closed by the GRC team with documented rationale.</w:t>
      </w:r>
    </w:p>
    <w:p>
      <w:pPr>
        <w:spacing w:after="120"/>
      </w:pPr>
      <w:r>
        <w:rPr>
          <w:rFonts w:ascii="Arial" w:cs="Arial" w:eastAsia="Arial" w:hAnsi="Arial"/>
          <w:b/>
          <w:bCs/>
          <w:sz w:val="22"/>
          <w:szCs w:val="22"/>
        </w:rPr>
        <w:t xml:space="preserve">Evidence-based decision making: </w:t>
      </w:r>
      <w:r>
        <w:rPr>
          <w:rFonts w:ascii="Arial" w:cs="Arial" w:eastAsia="Arial" w:hAnsi="Arial"/>
          <w:sz w:val="22"/>
          <w:szCs w:val="22"/>
        </w:rPr>
        <w:t xml:space="preserve">Triage and escalation decisions are based on defined criteria, not subjective judgement. This ensures consistency and provides an auditable trail for regulatory scrutiny.</w:t>
      </w:r>
    </w:p>
    <w:p>
      <w:pPr>
        <w:spacing w:after="120"/>
      </w:pPr>
      <w:r>
        <w:rPr>
          <w:rFonts w:ascii="Arial" w:cs="Arial" w:eastAsia="Arial" w:hAnsi="Arial"/>
          <w:b/>
          <w:bCs/>
          <w:sz w:val="22"/>
          <w:szCs w:val="22"/>
        </w:rPr>
        <w:t xml:space="preserve">Continuous improvement: </w:t>
      </w:r>
      <w:r>
        <w:rPr>
          <w:rFonts w:ascii="Arial" w:cs="Arial" w:eastAsia="Arial" w:hAnsi="Arial"/>
          <w:sz w:val="22"/>
          <w:szCs w:val="22"/>
        </w:rPr>
        <w:t xml:space="preserve">The process operates as a cycle. Assurance findings from completed policy updates feed back into the detection and triage phases, improving the organisation’s ability to respond to future changes.</w:t>
      </w:r>
    </w:p>
    <w:p>
      <w:r>
        <w:br w:type="page"/>
      </w:r>
    </w:p>
    <w:p>
      <w:pPr>
        <w:pStyle w:val="Heading1"/>
      </w:pPr>
      <w:r>
        <w:t xml:space="preserve">4. Roles and Responsibilities</w:t>
      </w:r>
    </w:p>
    <w:p>
      <w:pPr>
        <w:pStyle w:val="Heading2"/>
      </w:pPr>
      <w:r>
        <w:t xml:space="preserve">4.1 RACI Matrix</w:t>
      </w:r>
    </w:p>
    <w:p>
      <w:pPr>
        <w:spacing w:after="120"/>
      </w:pPr>
      <w:r>
        <w:rPr>
          <w:rFonts w:ascii="Arial" w:cs="Arial" w:eastAsia="Arial" w:hAnsi="Arial"/>
          <w:sz w:val="22"/>
          <w:szCs w:val="22"/>
        </w:rPr>
        <w:t xml:space="preserve">The following matrix defines accountability for each activity in the governance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200"/>
        <w:gridCol w:w="1100"/>
        <w:gridCol w:w="1200"/>
        <w:gridCol w:w="1200"/>
        <w:gridCol w:w="900"/>
      </w:tblGrid>
      <w:tr>
        <w:tc>
          <w:tcPr>
            <w:tcW w:type="dxa" w:w="24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GRC Analyst</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Triage Team</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IS Gov Committee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Policy Owner</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 Owners</w:t>
            </w:r>
          </w:p>
        </w:tc>
      </w:tr>
      <w:tr>
        <w:tc>
          <w:tcPr>
            <w:tcW w:type="dxa" w:w="24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Horizon scanning &amp; detection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 brief preparation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4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Impact triage &amp; classification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Escalation decision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4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Board review &amp; approval</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analysis &amp; mapping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r>
      <w:tr>
        <w:tc>
          <w:tcPr>
            <w:tcW w:type="dxa" w:w="24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Policy drafting (redline)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r>
      <w:tr>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Stakeholder consultation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w:t>
            </w:r>
          </w:p>
        </w:tc>
      </w:tr>
      <w:tr>
        <w:tc>
          <w:tcPr>
            <w:tcW w:type="dxa" w:w="24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Policy approval &amp; sign-off</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w:t>
            </w:r>
          </w:p>
        </w:tc>
      </w:tr>
      <w:tr>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 &amp; training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r>
      <w:tr>
        <w:tc>
          <w:tcPr>
            <w:tcW w:type="dxa" w:w="24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Compliance verification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r>
      <w:tr>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Closure reporting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r>
    </w:tbl>
    <w:p>
      <w:pPr>
        <w:spacing w:after="200"/>
      </w:pPr>
    </w:p>
    <w:p>
      <w:pPr>
        <w:pStyle w:val="Heading2"/>
      </w:pPr>
      <w:r>
        <w:t xml:space="preserve">4.2 Key Roles</w:t>
      </w:r>
    </w:p>
    <w:p>
      <w:pPr>
        <w:spacing w:after="120"/>
      </w:pPr>
      <w:r>
        <w:rPr>
          <w:rFonts w:ascii="Arial" w:cs="Arial" w:eastAsia="Arial" w:hAnsi="Arial"/>
          <w:b/>
          <w:bCs/>
          <w:sz w:val="22"/>
          <w:szCs w:val="22"/>
        </w:rPr>
        <w:t xml:space="preserve">GRC Analyst: </w:t>
      </w:r>
      <w:r>
        <w:rPr>
          <w:rFonts w:ascii="Arial" w:cs="Arial" w:eastAsia="Arial" w:hAnsi="Arial"/>
          <w:sz w:val="22"/>
          <w:szCs w:val="22"/>
        </w:rPr>
        <w:t xml:space="preserve">Responsible for horizon scanning, preparing change briefs, and maintaining the framework change register. Conducts initial detection and supports triage with structured analysis.</w:t>
      </w:r>
    </w:p>
    <w:p>
      <w:pPr>
        <w:spacing w:after="120"/>
      </w:pPr>
      <w:r>
        <w:rPr>
          <w:rFonts w:ascii="Arial" w:cs="Arial" w:eastAsia="Arial" w:hAnsi="Arial"/>
          <w:b/>
          <w:bCs/>
          <w:sz w:val="22"/>
          <w:szCs w:val="22"/>
        </w:rPr>
        <w:t xml:space="preserve">Triage Team: </w:t>
      </w:r>
      <w:r>
        <w:rPr>
          <w:rFonts w:ascii="Arial" w:cs="Arial" w:eastAsia="Arial" w:hAnsi="Arial"/>
          <w:sz w:val="22"/>
          <w:szCs w:val="22"/>
        </w:rPr>
        <w:t xml:space="preserve">Cross-functional team comprising representatives from GRC, risk, and compliance. Assesses framework changes against defined criteria and recommends escalation decisions.</w:t>
      </w:r>
    </w:p>
    <w:p>
      <w:pPr>
        <w:spacing w:after="120"/>
      </w:pPr>
      <w:r>
        <w:rPr>
          <w:rFonts w:ascii="Arial" w:cs="Arial" w:eastAsia="Arial" w:hAnsi="Arial"/>
          <w:b/>
          <w:bCs/>
          <w:sz w:val="22"/>
          <w:szCs w:val="22"/>
        </w:rPr>
        <w:t xml:space="preserve">IS Governance Committee: </w:t>
      </w:r>
      <w:r>
        <w:rPr>
          <w:rFonts w:ascii="Arial" w:cs="Arial" w:eastAsia="Arial" w:hAnsi="Arial"/>
          <w:sz w:val="22"/>
          <w:szCs w:val="22"/>
        </w:rPr>
        <w:t xml:space="preserve">Chaired by the CISO with representation from second-line risk, compliance, legal, and business lines. Holds approval authority for significant policy changes and receives closure reports.</w:t>
      </w:r>
    </w:p>
    <w:p>
      <w:pPr>
        <w:spacing w:after="120"/>
      </w:pPr>
      <w:r>
        <w:rPr>
          <w:rFonts w:ascii="Arial" w:cs="Arial" w:eastAsia="Arial" w:hAnsi="Arial"/>
          <w:b/>
          <w:bCs/>
          <w:sz w:val="22"/>
          <w:szCs w:val="22"/>
        </w:rPr>
        <w:t xml:space="preserve">Policy Owner: </w:t>
      </w:r>
      <w:r>
        <w:rPr>
          <w:rFonts w:ascii="Arial" w:cs="Arial" w:eastAsia="Arial" w:hAnsi="Arial"/>
          <w:sz w:val="22"/>
          <w:szCs w:val="22"/>
        </w:rPr>
        <w:t xml:space="preserve">Assigned by the governance committee to lead specific policy update initiatives. Accountable for gap analysis, stakeholder consultation, drafting, and implementation.</w:t>
      </w:r>
    </w:p>
    <w:p>
      <w:pPr>
        <w:spacing w:after="120"/>
      </w:pPr>
      <w:r>
        <w:rPr>
          <w:rFonts w:ascii="Arial" w:cs="Arial" w:eastAsia="Arial" w:hAnsi="Arial"/>
          <w:b/>
          <w:bCs/>
          <w:sz w:val="22"/>
          <w:szCs w:val="22"/>
        </w:rPr>
        <w:t xml:space="preserve">Control Owners: </w:t>
      </w:r>
      <w:r>
        <w:rPr>
          <w:rFonts w:ascii="Arial" w:cs="Arial" w:eastAsia="Arial" w:hAnsi="Arial"/>
          <w:sz w:val="22"/>
          <w:szCs w:val="22"/>
        </w:rPr>
        <w:t xml:space="preserve">Operational staff responsible for implementing and operating controls governed by the policies. Consulted during policy updates and responsible for embedding changes.</w:t>
      </w:r>
    </w:p>
    <w:p>
      <w:r>
        <w:br w:type="page"/>
      </w:r>
    </w:p>
    <w:p>
      <w:pPr>
        <w:pStyle w:val="Heading1"/>
      </w:pPr>
      <w:r>
        <w:t xml:space="preserve">5. Process Phases</w:t>
      </w:r>
    </w:p>
    <w:p>
      <w:pPr>
        <w:pStyle w:val="Heading2"/>
      </w:pPr>
      <w:r>
        <w:t xml:space="preserve">5.1 Phase 1: Detect</w:t>
      </w:r>
    </w:p>
    <w:p>
      <w:pPr>
        <w:pStyle w:val="Heading3"/>
      </w:pPr>
      <w:r>
        <w:t xml:space="preserve">Objective</w:t>
      </w:r>
    </w:p>
    <w:p>
      <w:pPr>
        <w:spacing w:after="120"/>
      </w:pPr>
      <w:r>
        <w:rPr>
          <w:rFonts w:ascii="Arial" w:cs="Arial" w:eastAsia="Arial" w:hAnsi="Arial"/>
          <w:sz w:val="22"/>
          <w:szCs w:val="22"/>
        </w:rPr>
        <w:t xml:space="preserve">Systematically identify changes to in-scope frameworks and regulatory expectations through continuous horizon scanning.</w:t>
      </w:r>
    </w:p>
    <w:p>
      <w:pPr>
        <w:pStyle w:val="Heading3"/>
      </w:pPr>
      <w:r>
        <w:t xml:space="preserve">Activities</w:t>
      </w:r>
    </w:p>
    <w:p>
      <w:pPr>
        <w:spacing w:after="120"/>
      </w:pPr>
      <w:r>
        <w:rPr>
          <w:rFonts w:ascii="Arial" w:cs="Arial" w:eastAsia="Arial" w:hAnsi="Arial"/>
          <w:sz w:val="22"/>
          <w:szCs w:val="22"/>
        </w:rPr>
        <w:t xml:space="preserve">The GRC analyst monitors framework and regulatory sources through subscription-based alerts, including NIST publication notifications, PRA/FCA regulatory update services, industry body communications (e.g., UK Finance, CBI), and peer firm intelligence sharing. When a change is identified, the analyst logs it immediately in the framework change register with the date identified, source, brief description, and initial relevance assessment.</w:t>
      </w:r>
    </w:p>
    <w:p>
      <w:pPr>
        <w:spacing w:after="120"/>
      </w:pPr>
      <w:r>
        <w:rPr>
          <w:rFonts w:ascii="Arial" w:cs="Arial" w:eastAsia="Arial" w:hAnsi="Arial"/>
          <w:sz w:val="22"/>
          <w:szCs w:val="22"/>
        </w:rPr>
        <w:t xml:space="preserve">Before escalating to triage, the analyst prepares a structured change brief (one to two pages) summarising the key changes, new requirements introduced, items restructured or removed, and a preliminary relevance flag. This brief enables efficient triage without requiring the triage team to review the full source publication.</w:t>
      </w:r>
    </w:p>
    <w:p>
      <w:pPr>
        <w:pStyle w:val="Heading3"/>
      </w:pPr>
      <w:r>
        <w:t xml:space="preserve">Outputs</w:t>
      </w:r>
    </w:p>
    <w:p>
      <w:pPr>
        <w:spacing w:after="120"/>
      </w:pPr>
      <w:r>
        <w:rPr>
          <w:rFonts w:ascii="Arial" w:cs="Arial" w:eastAsia="Arial" w:hAnsi="Arial"/>
          <w:sz w:val="22"/>
          <w:szCs w:val="22"/>
        </w:rPr>
        <w:t xml:space="preserve">Framework change register entry and structured change brief.</w:t>
      </w:r>
    </w:p>
    <w:p>
      <w:pPr>
        <w:pStyle w:val="Heading2"/>
      </w:pPr>
      <w:r>
        <w:t xml:space="preserve">5.2 Phase 2: Triage</w:t>
      </w:r>
    </w:p>
    <w:p>
      <w:pPr>
        <w:pStyle w:val="Heading3"/>
      </w:pPr>
      <w:r>
        <w:t xml:space="preserve">Objective</w:t>
      </w:r>
    </w:p>
    <w:p>
      <w:pPr>
        <w:spacing w:after="120"/>
      </w:pPr>
      <w:r>
        <w:rPr>
          <w:rFonts w:ascii="Arial" w:cs="Arial" w:eastAsia="Arial" w:hAnsi="Arial"/>
          <w:sz w:val="22"/>
          <w:szCs w:val="22"/>
        </w:rPr>
        <w:t xml:space="preserve">Assess the impact of detected framework changes against defined criteria and classify them for appropriate action.</w:t>
      </w:r>
    </w:p>
    <w:p>
      <w:pPr>
        <w:pStyle w:val="Heading3"/>
      </w:pPr>
      <w:r>
        <w:t xml:space="preserve">Triage Criteria</w:t>
      </w:r>
    </w:p>
    <w:p>
      <w:pPr>
        <w:spacing w:after="120"/>
      </w:pPr>
      <w:r>
        <w:rPr>
          <w:rFonts w:ascii="Arial" w:cs="Arial" w:eastAsia="Arial" w:hAnsi="Arial"/>
          <w:sz w:val="22"/>
          <w:szCs w:val="22"/>
        </w:rPr>
        <w:t xml:space="preserve">Each framework change is assessed against four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 Guidance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Control mapping impact</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Does the change affect controls currently mapped to our policy framework?</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 structural changes to categories/subcategories. Medium: renumbering only. Low: editorial.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requirements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the change introduce requirements not currently addressed?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new function or category. Medium: new subcategories under existing functions. Low: expanded guidance only.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Regulatory impact</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Does the change affect how we evidence compliance with PRA, FCA, or other regulatory obligations?</w:t>
            </w:r>
          </w:p>
        </w:tc>
        <w:tc>
          <w:tcPr>
            <w:tcW w:type="dxa" w:w="3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 direct regulatory reference to the framework. Medium: indirect (we use it to evidence compliance). Low: no regulatory linkage.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&amp; reporting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the change affect how we report, measure, or evidence compliance?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assessment methodology changed. Medium: informative references updated. Low: no change to evidence approach.</w:t>
            </w:r>
          </w:p>
        </w:tc>
      </w:tr>
    </w:tbl>
    <w:p>
      <w:pPr>
        <w:spacing w:after="200"/>
      </w:pPr>
    </w:p>
    <w:p>
      <w:pPr>
        <w:pStyle w:val="Heading3"/>
      </w:pPr>
      <w:r>
        <w:t xml:space="preserve">Escalation Matrix</w:t>
      </w:r>
    </w:p>
    <w:p>
      <w:pPr>
        <w:spacing w:after="120"/>
      </w:pPr>
      <w:r>
        <w:rPr>
          <w:rFonts w:ascii="Arial" w:cs="Arial" w:eastAsia="Arial" w:hAnsi="Arial"/>
          <w:sz w:val="22"/>
          <w:szCs w:val="22"/>
        </w:rPr>
        <w:t xml:space="preserve">Based on the triage assessment, each change is classified and routed accordingly: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02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Overall Rating</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Governance Route</w:t>
            </w:r>
          </w:p>
        </w:tc>
        <w:tc>
          <w:tcPr>
            <w:tcW w:type="dxa" w:w="2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Log in change register. No policy update required. GRC analyst closes with documented rationale.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GRC team sign-off</w:t>
            </w:r>
          </w:p>
        </w:tc>
        <w:tc>
          <w:tcPr>
            <w:tcW w:type="dxa" w:w="2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working days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Targeted policy amendments (e.g., reference updates, minor wording). Policy owner drafts changes.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owner approval with GRC review</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working days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Significant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policy update programme. Gap analysis, stakeholder consultation, board approval required.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 Governance Committee</w:t>
            </w:r>
          </w:p>
        </w:tc>
        <w:tc>
          <w:tcPr>
            <w:tcW w:type="dxa" w:w="2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60–90 working days</w:t>
            </w:r>
          </w:p>
        </w:tc>
      </w:tr>
    </w:tbl>
    <w:p>
      <w:pPr>
        <w:spacing w:after="200"/>
      </w:pPr>
    </w:p>
    <w:p>
      <w:pPr>
        <w:pStyle w:val="Heading3"/>
      </w:pPr>
      <w:r>
        <w:t xml:space="preserve">Outputs</w:t>
      </w:r>
    </w:p>
    <w:p>
      <w:pPr>
        <w:spacing w:after="120"/>
      </w:pPr>
      <w:r>
        <w:rPr>
          <w:rFonts w:ascii="Arial" w:cs="Arial" w:eastAsia="Arial" w:hAnsi="Arial"/>
          <w:sz w:val="22"/>
          <w:szCs w:val="22"/>
        </w:rPr>
        <w:t xml:space="preserve">Completed triage assessment with impact rating, rationale, and escalation recommendation.</w:t>
      </w:r>
    </w:p>
    <w:p>
      <w:r>
        <w:br w:type="page"/>
      </w:r>
    </w:p>
    <w:p>
      <w:pPr>
        <w:pStyle w:val="Heading2"/>
      </w:pPr>
      <w:r>
        <w:t xml:space="preserve">5.3 Phase 3: Decide</w:t>
      </w:r>
    </w:p>
    <w:p>
      <w:pPr>
        <w:pStyle w:val="Heading3"/>
      </w:pPr>
      <w:r>
        <w:t xml:space="preserve">Objective</w:t>
      </w:r>
    </w:p>
    <w:p>
      <w:pPr>
        <w:spacing w:after="120"/>
      </w:pPr>
      <w:r>
        <w:rPr>
          <w:rFonts w:ascii="Arial" w:cs="Arial" w:eastAsia="Arial" w:hAnsi="Arial"/>
          <w:sz w:val="22"/>
          <w:szCs w:val="22"/>
        </w:rPr>
        <w:t xml:space="preserve">Obtain governance authority to proceed with policy updates for significant framework changes.</w:t>
      </w:r>
    </w:p>
    <w:p>
      <w:pPr>
        <w:pStyle w:val="Heading3"/>
      </w:pPr>
      <w:r>
        <w:t xml:space="preserve">Activities</w:t>
      </w:r>
    </w:p>
    <w:p>
      <w:pPr>
        <w:spacing w:after="120"/>
      </w:pPr>
      <w:r>
        <w:rPr>
          <w:rFonts w:ascii="Arial" w:cs="Arial" w:eastAsia="Arial" w:hAnsi="Arial"/>
          <w:sz w:val="22"/>
          <w:szCs w:val="22"/>
        </w:rPr>
        <w:t xml:space="preserve">The triage team presents the impact assessment and recommendation to the Information Security Governance Committee. The committee reviews the assessment, challenges assumptions where appropriate, and either approves a policy update initiative, requests further analysis, or accepts the risk of not aligning (with documented rationale).</w:t>
      </w:r>
    </w:p>
    <w:p>
      <w:pPr>
        <w:spacing w:after="120"/>
      </w:pPr>
      <w:r>
        <w:rPr>
          <w:rFonts w:ascii="Arial" w:cs="Arial" w:eastAsia="Arial" w:hAnsi="Arial"/>
          <w:sz w:val="22"/>
          <w:szCs w:val="22"/>
        </w:rPr>
        <w:t xml:space="preserve">Where approved, the committee assigns a policy owner, agrees the scope of the update programme, allocates resources, and sets a target completion date.</w:t>
      </w:r>
    </w:p>
    <w:p>
      <w:pPr>
        <w:pStyle w:val="Heading3"/>
      </w:pPr>
      <w:r>
        <w:t xml:space="preserve">Outputs</w:t>
      </w:r>
    </w:p>
    <w:p>
      <w:pPr>
        <w:spacing w:after="120"/>
      </w:pPr>
      <w:r>
        <w:rPr>
          <w:rFonts w:ascii="Arial" w:cs="Arial" w:eastAsia="Arial" w:hAnsi="Arial"/>
          <w:sz w:val="22"/>
          <w:szCs w:val="22"/>
        </w:rPr>
        <w:t xml:space="preserve">Governance committee decision record, assigned policy owner, and agreed scope and timeline.</w:t>
      </w:r>
    </w:p>
    <w:p>
      <w:pPr>
        <w:pStyle w:val="Heading2"/>
      </w:pPr>
      <w:r>
        <w:t xml:space="preserve">5.4 Phase 4: Update</w:t>
      </w:r>
    </w:p>
    <w:p>
      <w:pPr>
        <w:pStyle w:val="Heading3"/>
      </w:pPr>
      <w:r>
        <w:t xml:space="preserve">Objective</w:t>
      </w:r>
    </w:p>
    <w:p>
      <w:pPr>
        <w:spacing w:after="120"/>
      </w:pPr>
      <w:r>
        <w:rPr>
          <w:rFonts w:ascii="Arial" w:cs="Arial" w:eastAsia="Arial" w:hAnsi="Arial"/>
          <w:sz w:val="22"/>
          <w:szCs w:val="22"/>
        </w:rPr>
        <w:t xml:space="preserve">Produce updated policies that address the identified gaps and align to the current framework requirements.</w:t>
      </w:r>
    </w:p>
    <w:p>
      <w:pPr>
        <w:pStyle w:val="Heading3"/>
      </w:pPr>
      <w:r>
        <w:t xml:space="preserve">Activities</w:t>
      </w:r>
    </w:p>
    <w:p>
      <w:pPr>
        <w:spacing w:after="120"/>
      </w:pPr>
      <w:r>
        <w:rPr>
          <w:rFonts w:ascii="Arial" w:cs="Arial" w:eastAsia="Arial" w:hAnsi="Arial"/>
          <w:b/>
          <w:bCs/>
          <w:sz w:val="22"/>
          <w:szCs w:val="22"/>
        </w:rPr>
        <w:t xml:space="preserve">Step 1 — Build the crosswalk: </w:t>
      </w:r>
      <w:r>
        <w:rPr>
          <w:rFonts w:ascii="Arial" w:cs="Arial" w:eastAsia="Arial" w:hAnsi="Arial"/>
          <w:sz w:val="22"/>
          <w:szCs w:val="22"/>
        </w:rPr>
        <w:t xml:space="preserve">The policy owner creates a mapping document showing the relationship between the previous framework version and the current version. For NIST CSF, this means mapping 1.1 subcategories to their 2.0 equivalents, identifying direct mappings, restructured items, and gaps.</w:t>
      </w:r>
    </w:p>
    <w:p>
      <w:pPr>
        <w:spacing w:after="120"/>
      </w:pPr>
      <w:r>
        <w:rPr>
          <w:rFonts w:ascii="Arial" w:cs="Arial" w:eastAsia="Arial" w:hAnsi="Arial"/>
          <w:b/>
          <w:bCs/>
          <w:sz w:val="22"/>
          <w:szCs w:val="22"/>
        </w:rPr>
        <w:t xml:space="preserve">Step 2 — Overlay current policies: </w:t>
      </w:r>
      <w:r>
        <w:rPr>
          <w:rFonts w:ascii="Arial" w:cs="Arial" w:eastAsia="Arial" w:hAnsi="Arial"/>
          <w:sz w:val="22"/>
          <w:szCs w:val="22"/>
        </w:rPr>
        <w:t xml:space="preserve">For each row in the crosswalk, the policy owner identifies which existing policies address the requirement. This reveals three categories: direct mappings (reference update only), restructured mappings (policy reorganisation needed), and gaps (new policy content required).</w:t>
      </w:r>
    </w:p>
    <w:p>
      <w:pPr>
        <w:spacing w:after="120"/>
      </w:pPr>
      <w:r>
        <w:rPr>
          <w:rFonts w:ascii="Arial" w:cs="Arial" w:eastAsia="Arial" w:hAnsi="Arial"/>
          <w:b/>
          <w:bCs/>
          <w:sz w:val="22"/>
          <w:szCs w:val="22"/>
        </w:rPr>
        <w:t xml:space="preserve">Step 3 — Prioritise gaps: </w:t>
      </w:r>
      <w:r>
        <w:rPr>
          <w:rFonts w:ascii="Arial" w:cs="Arial" w:eastAsia="Arial" w:hAnsi="Arial"/>
          <w:sz w:val="22"/>
          <w:szCs w:val="22"/>
        </w:rPr>
        <w:t xml:space="preserve">Not all gaps carry equal risk. The policy owner works with the governance committee to agree priority order based on regulatory exposure, operational risk, and implementation complexity.</w:t>
      </w:r>
    </w:p>
    <w:p>
      <w:pPr>
        <w:spacing w:after="120"/>
      </w:pPr>
      <w:r>
        <w:rPr>
          <w:rFonts w:ascii="Arial" w:cs="Arial" w:eastAsia="Arial" w:hAnsi="Arial"/>
          <w:b/>
          <w:bCs/>
          <w:sz w:val="22"/>
          <w:szCs w:val="22"/>
        </w:rPr>
        <w:t xml:space="preserve">Step 4 — Draft updates: </w:t>
      </w:r>
      <w:r>
        <w:rPr>
          <w:rFonts w:ascii="Arial" w:cs="Arial" w:eastAsia="Arial" w:hAnsi="Arial"/>
          <w:sz w:val="22"/>
          <w:szCs w:val="22"/>
        </w:rPr>
        <w:t xml:space="preserve">For each policy requiring change, the policy owner produces a redline draft showing all modifications. Direct mappings may require simple find-and-replace of framework references. Gaps require new policy content developed through stakeholder consultation.</w:t>
      </w:r>
    </w:p>
    <w:p>
      <w:pPr>
        <w:spacing w:after="120"/>
      </w:pPr>
      <w:r>
        <w:rPr>
          <w:rFonts w:ascii="Arial" w:cs="Arial" w:eastAsia="Arial" w:hAnsi="Arial"/>
          <w:b/>
          <w:bCs/>
          <w:sz w:val="22"/>
          <w:szCs w:val="22"/>
        </w:rPr>
        <w:t xml:space="preserve">Step 5 — Stakeholder review: </w:t>
      </w:r>
      <w:r>
        <w:rPr>
          <w:rFonts w:ascii="Arial" w:cs="Arial" w:eastAsia="Arial" w:hAnsi="Arial"/>
          <w:sz w:val="22"/>
          <w:szCs w:val="22"/>
        </w:rPr>
        <w:t xml:space="preserve">Redline drafts are circulated to control owners, second-line risk, compliance, and legal for review. Feedback is collected, conflicts resolved, and final versions produced.</w:t>
      </w:r>
    </w:p>
    <w:p>
      <w:pPr>
        <w:spacing w:after="120"/>
      </w:pPr>
      <w:r>
        <w:rPr>
          <w:rFonts w:ascii="Arial" w:cs="Arial" w:eastAsia="Arial" w:hAnsi="Arial"/>
          <w:b/>
          <w:bCs/>
          <w:sz w:val="22"/>
          <w:szCs w:val="22"/>
        </w:rPr>
        <w:t xml:space="preserve">Step 6 — Approval: </w:t>
      </w:r>
      <w:r>
        <w:rPr>
          <w:rFonts w:ascii="Arial" w:cs="Arial" w:eastAsia="Arial" w:hAnsi="Arial"/>
          <w:sz w:val="22"/>
          <w:szCs w:val="22"/>
        </w:rPr>
        <w:t xml:space="preserve">Final drafts are submitted to the governance committee for sign-off. Approved policies are version-controlled with the previous version archived and the new version marked with an effective date.</w:t>
      </w:r>
    </w:p>
    <w:p>
      <w:pPr>
        <w:pStyle w:val="Heading3"/>
      </w:pPr>
      <w:r>
        <w:t xml:space="preserve">Outputs</w:t>
      </w:r>
    </w:p>
    <w:p>
      <w:pPr>
        <w:spacing w:after="120"/>
      </w:pPr>
      <w:r>
        <w:rPr>
          <w:rFonts w:ascii="Arial" w:cs="Arial" w:eastAsia="Arial" w:hAnsi="Arial"/>
          <w:sz w:val="22"/>
          <w:szCs w:val="22"/>
        </w:rPr>
        <w:t xml:space="preserve">Framework crosswalk mapping, redline policy drafts, stakeholder feedback records, and approved final policy versions.</w:t>
      </w:r>
    </w:p>
    <w:p>
      <w:r>
        <w:br w:type="page"/>
      </w:r>
    </w:p>
    <w:p>
      <w:pPr>
        <w:pStyle w:val="Heading2"/>
      </w:pPr>
      <w:r>
        <w:t xml:space="preserve">5.5 Phase 5: Communicate</w:t>
      </w:r>
    </w:p>
    <w:p>
      <w:pPr>
        <w:pStyle w:val="Heading3"/>
      </w:pPr>
      <w:r>
        <w:t xml:space="preserve">Objective</w:t>
      </w:r>
    </w:p>
    <w:p>
      <w:pPr>
        <w:spacing w:after="120"/>
      </w:pPr>
      <w:r>
        <w:rPr>
          <w:rFonts w:ascii="Arial" w:cs="Arial" w:eastAsia="Arial" w:hAnsi="Arial"/>
          <w:sz w:val="22"/>
          <w:szCs w:val="22"/>
        </w:rPr>
        <w:t xml:space="preserve">Ensure all affected stakeholders are aware of policy changes and understand their responsibilities under the updated policies.</w:t>
      </w:r>
    </w:p>
    <w:p>
      <w:pPr>
        <w:pStyle w:val="Heading3"/>
      </w:pPr>
      <w:r>
        <w:t xml:space="preserve">Activities</w:t>
      </w:r>
    </w:p>
    <w:p>
      <w:pPr>
        <w:spacing w:after="120"/>
      </w:pPr>
      <w:r>
        <w:rPr>
          <w:rFonts w:ascii="Arial" w:cs="Arial" w:eastAsia="Arial" w:hAnsi="Arial"/>
          <w:sz w:val="22"/>
          <w:szCs w:val="22"/>
        </w:rPr>
        <w:t xml:space="preserve">Communication is targeted by audience. Control owners receive detailed briefings explaining what changed in their area and what they need to do differently. Senior leadership receives an executive summary of the changes and their strategic implications. All staff receive a general awareness update through standard communication channels.</w:t>
      </w:r>
    </w:p>
    <w:p>
      <w:pPr>
        <w:spacing w:after="120"/>
      </w:pPr>
      <w:r>
        <w:rPr>
          <w:rFonts w:ascii="Arial" w:cs="Arial" w:eastAsia="Arial" w:hAnsi="Arial"/>
          <w:sz w:val="22"/>
          <w:szCs w:val="22"/>
        </w:rPr>
        <w:t xml:space="preserve">Where the framework change introduces new responsibilities (such as the Govern function in NIST CSF 2.0 introducing explicit governance and oversight requirements for senior leaders), specific training sessions are scheduled for the affected roles.</w:t>
      </w:r>
    </w:p>
    <w:p>
      <w:pPr>
        <w:spacing w:after="120"/>
      </w:pPr>
      <w:r>
        <w:rPr>
          <w:rFonts w:ascii="Arial" w:cs="Arial" w:eastAsia="Arial" w:hAnsi="Arial"/>
          <w:sz w:val="22"/>
          <w:szCs w:val="22"/>
        </w:rPr>
        <w:t xml:space="preserve">Updated policies are published in the organisation’s policy management system, replacing the previous versions.</w:t>
      </w:r>
    </w:p>
    <w:p>
      <w:pPr>
        <w:pStyle w:val="Heading3"/>
      </w:pPr>
      <w:r>
        <w:t xml:space="preserve">Outputs</w:t>
      </w:r>
    </w:p>
    <w:p>
      <w:pPr>
        <w:spacing w:after="120"/>
      </w:pPr>
      <w:r>
        <w:rPr>
          <w:rFonts w:ascii="Arial" w:cs="Arial" w:eastAsia="Arial" w:hAnsi="Arial"/>
          <w:sz w:val="22"/>
          <w:szCs w:val="22"/>
        </w:rPr>
        <w:t xml:space="preserve">Communication plan, targeted briefing materials, updated training content, and published policy versions.</w:t>
      </w:r>
    </w:p>
    <w:p>
      <w:pPr>
        <w:pStyle w:val="Heading2"/>
      </w:pPr>
      <w:r>
        <w:t xml:space="preserve">5.6 Phase 6: Assure</w:t>
      </w:r>
    </w:p>
    <w:p>
      <w:pPr>
        <w:pStyle w:val="Heading3"/>
      </w:pPr>
      <w:r>
        <w:t xml:space="preserve">Objective</w:t>
      </w:r>
    </w:p>
    <w:p>
      <w:pPr>
        <w:spacing w:after="120"/>
      </w:pPr>
      <w:r>
        <w:rPr>
          <w:rFonts w:ascii="Arial" w:cs="Arial" w:eastAsia="Arial" w:hAnsi="Arial"/>
          <w:sz w:val="22"/>
          <w:szCs w:val="22"/>
        </w:rPr>
        <w:t xml:space="preserve">Verify that updated policies are being implemented and operated effectively, and close the governance loop.</w:t>
      </w:r>
    </w:p>
    <w:p>
      <w:pPr>
        <w:pStyle w:val="Heading3"/>
      </w:pPr>
      <w:r>
        <w:t xml:space="preserve">Activities</w:t>
      </w:r>
    </w:p>
    <w:p>
      <w:pPr>
        <w:spacing w:after="120"/>
      </w:pPr>
      <w:r>
        <w:rPr>
          <w:rFonts w:ascii="Arial" w:cs="Arial" w:eastAsia="Arial" w:hAnsi="Arial"/>
          <w:b/>
          <w:bCs/>
          <w:sz w:val="22"/>
          <w:szCs w:val="22"/>
        </w:rPr>
        <w:t xml:space="preserve">Compliance verification: </w:t>
      </w:r>
      <w:r>
        <w:rPr>
          <w:rFonts w:ascii="Arial" w:cs="Arial" w:eastAsia="Arial" w:hAnsi="Arial"/>
          <w:sz w:val="22"/>
          <w:szCs w:val="22"/>
        </w:rPr>
        <w:t xml:space="preserve">After an embedding period (typically 30–90 days depending on the significance of the change), the GRC function conducts compliance checks. These may include control owner self-assessments, spot checks, or targeted control testing to confirm the updated policy requirements are being met.</w:t>
      </w:r>
    </w:p>
    <w:p>
      <w:pPr>
        <w:spacing w:after="120"/>
      </w:pPr>
      <w:r>
        <w:rPr>
          <w:rFonts w:ascii="Arial" w:cs="Arial" w:eastAsia="Arial" w:hAnsi="Arial"/>
          <w:b/>
          <w:bCs/>
          <w:sz w:val="22"/>
          <w:szCs w:val="22"/>
        </w:rPr>
        <w:t xml:space="preserve">Internal audit: </w:t>
      </w:r>
      <w:r>
        <w:rPr>
          <w:rFonts w:ascii="Arial" w:cs="Arial" w:eastAsia="Arial" w:hAnsi="Arial"/>
          <w:sz w:val="22"/>
          <w:szCs w:val="22"/>
        </w:rPr>
        <w:t xml:space="preserve">For significant changes, the updated policy area is included in the internal audit plan. Internal audit provides independent assurance that policies are not only documented correctly but are operating effectively.</w:t>
      </w:r>
    </w:p>
    <w:p>
      <w:pPr>
        <w:spacing w:after="120"/>
      </w:pPr>
      <w:r>
        <w:rPr>
          <w:rFonts w:ascii="Arial" w:cs="Arial" w:eastAsia="Arial" w:hAnsi="Arial"/>
          <w:b/>
          <w:bCs/>
          <w:sz w:val="22"/>
          <w:szCs w:val="22"/>
        </w:rPr>
        <w:t xml:space="preserve">Closure reporting: </w:t>
      </w:r>
      <w:r>
        <w:rPr>
          <w:rFonts w:ascii="Arial" w:cs="Arial" w:eastAsia="Arial" w:hAnsi="Arial"/>
          <w:sz w:val="22"/>
          <w:szCs w:val="22"/>
        </w:rPr>
        <w:t xml:space="preserve">The policy owner prepares a closure report for the governance committee summarising: the number of changes identified, triage outcomes, policies updated, stakeholders engaged, and assurance evidence confirming operational embedding. This report formally closes the governance cycle for the framework change.</w:t>
      </w:r>
    </w:p>
    <w:p>
      <w:pPr>
        <w:spacing w:after="120"/>
      </w:pPr>
      <w:r>
        <w:rPr>
          <w:rFonts w:ascii="Arial" w:cs="Arial" w:eastAsia="Arial" w:hAnsi="Arial"/>
          <w:b/>
          <w:bCs/>
          <w:sz w:val="22"/>
          <w:szCs w:val="22"/>
        </w:rPr>
        <w:t xml:space="preserve">Feedback loop: </w:t>
      </w:r>
      <w:r>
        <w:rPr>
          <w:rFonts w:ascii="Arial" w:cs="Arial" w:eastAsia="Arial" w:hAnsi="Arial"/>
          <w:sz w:val="22"/>
          <w:szCs w:val="22"/>
        </w:rPr>
        <w:t xml:space="preserve">Assurance findings, lessons learned, and any residual gaps are fed back into the detection and triage phases. This may include updating triage criteria, refining the change brief template, or adjusting the horizon scanning source list.</w:t>
      </w:r>
    </w:p>
    <w:p>
      <w:pPr>
        <w:pStyle w:val="Heading3"/>
      </w:pPr>
      <w:r>
        <w:t xml:space="preserve">Outputs</w:t>
      </w:r>
    </w:p>
    <w:p>
      <w:pPr>
        <w:spacing w:after="120"/>
      </w:pPr>
      <w:r>
        <w:rPr>
          <w:rFonts w:ascii="Arial" w:cs="Arial" w:eastAsia="Arial" w:hAnsi="Arial"/>
          <w:sz w:val="22"/>
          <w:szCs w:val="22"/>
        </w:rPr>
        <w:t xml:space="preserve">Compliance verification results, internal audit findings, closure report, and lessons learned feeding back into Phase 1.</w:t>
      </w:r>
    </w:p>
    <w:p>
      <w:r>
        <w:br w:type="page"/>
      </w:r>
    </w:p>
    <w:p>
      <w:pPr>
        <w:pStyle w:val="Heading1"/>
      </w:pPr>
      <w:r>
        <w:t xml:space="preserve">6. Scenario: NIST CSF 1.1 to 2.0 Transition</w:t>
      </w:r>
    </w:p>
    <w:p>
      <w:pPr>
        <w:spacing w:after="120"/>
      </w:pPr>
      <w:r>
        <w:rPr>
          <w:rFonts w:ascii="Arial" w:cs="Arial" w:eastAsia="Arial" w:hAnsi="Arial"/>
          <w:sz w:val="22"/>
          <w:szCs w:val="22"/>
        </w:rPr>
        <w:t xml:space="preserve">The following scenario illustrates how this governance process would handle the transition from NIST CSF 1.1 to CSF 2.0, providing a practical reference for how each phase operates.</w:t>
      </w:r>
    </w:p>
    <w:p>
      <w:pPr>
        <w:spacing w:after="120"/>
      </w:pPr>
      <w:r>
        <w:rPr>
          <w:rFonts w:ascii="Arial" w:cs="Arial" w:eastAsia="Arial" w:hAnsi="Arial"/>
          <w:b/>
          <w:bCs/>
          <w:sz w:val="22"/>
          <w:szCs w:val="22"/>
        </w:rPr>
        <w:t xml:space="preserve">Detect: </w:t>
      </w:r>
      <w:r>
        <w:rPr>
          <w:rFonts w:ascii="Arial" w:cs="Arial" w:eastAsia="Arial" w:hAnsi="Arial"/>
          <w:sz w:val="22"/>
          <w:szCs w:val="22"/>
        </w:rPr>
        <w:t xml:space="preserve">The GRC analyst identifies the NIST CSF 2.0 publication (February 2024) via a NIST subscription alert. A change brief is prepared summarising: the addition of a new Govern (GV) function, restructuring of existing subcategories (e.g., PR.AC becoming PR.AA), updated informative references, and expanded scope beyond critical infrastructure.</w:t>
      </w:r>
    </w:p>
    <w:p>
      <w:pPr>
        <w:spacing w:after="120"/>
      </w:pPr>
      <w:r>
        <w:rPr>
          <w:rFonts w:ascii="Arial" w:cs="Arial" w:eastAsia="Arial" w:hAnsi="Arial"/>
          <w:b/>
          <w:bCs/>
          <w:sz w:val="22"/>
          <w:szCs w:val="22"/>
        </w:rPr>
        <w:t xml:space="preserve">Triage: </w:t>
      </w:r>
      <w:r>
        <w:rPr>
          <w:rFonts w:ascii="Arial" w:cs="Arial" w:eastAsia="Arial" w:hAnsi="Arial"/>
          <w:sz w:val="22"/>
          <w:szCs w:val="22"/>
        </w:rPr>
        <w:t xml:space="preserve">The triage team assesses against all four criteria. Control mapping impact is rated High (subcategories restructured). New requirements rated High (Govern function is entirely new). Regulatory impact rated Medium (indirect — the firm uses CSF to evidence PRA/FCA compliance). Evidence and reporting rated Medium (informative references updated). Overall classification: Significant.</w:t>
      </w:r>
    </w:p>
    <w:p>
      <w:pPr>
        <w:spacing w:after="120"/>
      </w:pPr>
      <w:r>
        <w:rPr>
          <w:rFonts w:ascii="Arial" w:cs="Arial" w:eastAsia="Arial" w:hAnsi="Arial"/>
          <w:b/>
          <w:bCs/>
          <w:sz w:val="22"/>
          <w:szCs w:val="22"/>
        </w:rPr>
        <w:t xml:space="preserve">Decide: </w:t>
      </w:r>
      <w:r>
        <w:rPr>
          <w:rFonts w:ascii="Arial" w:cs="Arial" w:eastAsia="Arial" w:hAnsi="Arial"/>
          <w:sz w:val="22"/>
          <w:szCs w:val="22"/>
        </w:rPr>
        <w:t xml:space="preserve">The IS Governance Committee reviews the triage output, approves a policy update programme, assigns a policy owner, and sets a 90-day target for completion.</w:t>
      </w:r>
    </w:p>
    <w:p>
      <w:pPr>
        <w:spacing w:after="120"/>
      </w:pPr>
      <w:r>
        <w:rPr>
          <w:rFonts w:ascii="Arial" w:cs="Arial" w:eastAsia="Arial" w:hAnsi="Arial"/>
          <w:b/>
          <w:bCs/>
          <w:sz w:val="22"/>
          <w:szCs w:val="22"/>
        </w:rPr>
        <w:t xml:space="preserve">Update: </w:t>
      </w:r>
      <w:r>
        <w:rPr>
          <w:rFonts w:ascii="Arial" w:cs="Arial" w:eastAsia="Arial" w:hAnsi="Arial"/>
          <w:sz w:val="22"/>
          <w:szCs w:val="22"/>
        </w:rPr>
        <w:t xml:space="preserve">The policy owner builds a CSF 1.1-to-2.0 crosswalk, overlays current policies, identifies gaps (primarily under the new Govern function including GV.OC, GV.RM, GV.SC, GV.RR, GV.PO, and GV.OV), prioritises them, drafts redline updates, consults stakeholders, and obtains committee sign-off on final versions.</w:t>
      </w:r>
    </w:p>
    <w:p>
      <w:pPr>
        <w:spacing w:after="120"/>
      </w:pPr>
      <w:r>
        <w:rPr>
          <w:rFonts w:ascii="Arial" w:cs="Arial" w:eastAsia="Arial" w:hAnsi="Arial"/>
          <w:b/>
          <w:bCs/>
          <w:sz w:val="22"/>
          <w:szCs w:val="22"/>
        </w:rPr>
        <w:t xml:space="preserve">Communicate: </w:t>
      </w:r>
      <w:r>
        <w:rPr>
          <w:rFonts w:ascii="Arial" w:cs="Arial" w:eastAsia="Arial" w:hAnsi="Arial"/>
          <w:sz w:val="22"/>
          <w:szCs w:val="22"/>
        </w:rPr>
        <w:t xml:space="preserve">Control owners receive targeted briefings. Senior leaders are briefed on new Govern function responsibilities. All staff receive an awareness update. Updated policies are published.</w:t>
      </w:r>
    </w:p>
    <w:p>
      <w:pPr>
        <w:spacing w:after="120"/>
      </w:pPr>
      <w:r>
        <w:rPr>
          <w:rFonts w:ascii="Arial" w:cs="Arial" w:eastAsia="Arial" w:hAnsi="Arial"/>
          <w:b/>
          <w:bCs/>
          <w:sz w:val="22"/>
          <w:szCs w:val="22"/>
        </w:rPr>
        <w:t xml:space="preserve">Assure: </w:t>
      </w:r>
      <w:r>
        <w:rPr>
          <w:rFonts w:ascii="Arial" w:cs="Arial" w:eastAsia="Arial" w:hAnsi="Arial"/>
          <w:sz w:val="22"/>
          <w:szCs w:val="22"/>
        </w:rPr>
        <w:t xml:space="preserve">After 90 days, compliance verification confirms updated policies are being followed. Internal audit adds CSF 2.0 alignment to the next audit cycle. A closure report is presented to the governance committee. Lessons learned (e.g., the crosswalk template needs improvement for future use) are fed back into Phase 1.</w:t>
      </w:r>
    </w:p>
    <w:p>
      <w:r>
        <w:br w:type="page"/>
      </w:r>
    </w:p>
    <w:p>
      <w:pPr>
        <w:pStyle w:val="Heading1"/>
      </w:pPr>
      <w:r>
        <w:t xml:space="preserve">7. Supporting Artefacts</w:t>
      </w:r>
    </w:p>
    <w:p>
      <w:pPr>
        <w:spacing w:after="120"/>
      </w:pPr>
      <w:r>
        <w:rPr>
          <w:rFonts w:ascii="Arial" w:cs="Arial" w:eastAsia="Arial" w:hAnsi="Arial"/>
          <w:sz w:val="22"/>
          <w:szCs w:val="22"/>
        </w:rPr>
        <w:t xml:space="preserve">The following artefacts support the operation of this governance process:</w:t>
      </w:r>
    </w:p>
    <w:p>
      <w:pPr>
        <w:pStyle w:val="ListParagraph"/>
        <w:numPr>
          <w:ilvl w:val="0"/>
          <w:numId w:val="2"/>
        </w:numPr>
        <w:spacing w:after="80"/>
      </w:pPr>
      <w:r>
        <w:rPr>
          <w:rFonts w:ascii="Arial" w:cs="Arial" w:eastAsia="Arial" w:hAnsi="Arial"/>
          <w:b/>
          <w:bCs/>
          <w:sz w:val="22"/>
          <w:szCs w:val="22"/>
        </w:rPr>
        <w:t xml:space="preserve">Framework Change Register: </w:t>
      </w:r>
      <w:r>
        <w:rPr>
          <w:rFonts w:ascii="Arial" w:cs="Arial" w:eastAsia="Arial" w:hAnsi="Arial"/>
          <w:sz w:val="22"/>
          <w:szCs w:val="22"/>
        </w:rPr>
        <w:t xml:space="preserve">Central log of all detected framework changes with triage outcomes and closure status.</w:t>
      </w:r>
    </w:p>
    <w:p>
      <w:pPr>
        <w:pStyle w:val="ListParagraph"/>
        <w:numPr>
          <w:ilvl w:val="0"/>
          <w:numId w:val="2"/>
        </w:numPr>
        <w:spacing w:after="80"/>
      </w:pPr>
      <w:r>
        <w:rPr>
          <w:rFonts w:ascii="Arial" w:cs="Arial" w:eastAsia="Arial" w:hAnsi="Arial"/>
          <w:b/>
          <w:bCs/>
          <w:sz w:val="22"/>
          <w:szCs w:val="22"/>
        </w:rPr>
        <w:t xml:space="preserve">Change Brief Template: </w:t>
      </w:r>
      <w:r>
        <w:rPr>
          <w:rFonts w:ascii="Arial" w:cs="Arial" w:eastAsia="Arial" w:hAnsi="Arial"/>
          <w:sz w:val="22"/>
          <w:szCs w:val="22"/>
        </w:rPr>
        <w:t xml:space="preserve">Standardised one-to-two page summary prepared by the GRC analyst for each detected change.</w:t>
      </w:r>
    </w:p>
    <w:p>
      <w:pPr>
        <w:pStyle w:val="ListParagraph"/>
        <w:numPr>
          <w:ilvl w:val="0"/>
          <w:numId w:val="2"/>
        </w:numPr>
        <w:spacing w:after="80"/>
      </w:pPr>
      <w:r>
        <w:rPr>
          <w:rFonts w:ascii="Arial" w:cs="Arial" w:eastAsia="Arial" w:hAnsi="Arial"/>
          <w:b/>
          <w:bCs/>
          <w:sz w:val="22"/>
          <w:szCs w:val="22"/>
        </w:rPr>
        <w:t xml:space="preserve">Triage Assessment Form: </w:t>
      </w:r>
      <w:r>
        <w:rPr>
          <w:rFonts w:ascii="Arial" w:cs="Arial" w:eastAsia="Arial" w:hAnsi="Arial"/>
          <w:sz w:val="22"/>
          <w:szCs w:val="22"/>
        </w:rPr>
        <w:t xml:space="preserve">Structured form for recording impact ratings against the four triage criteria.</w:t>
      </w:r>
    </w:p>
    <w:p>
      <w:pPr>
        <w:pStyle w:val="ListParagraph"/>
        <w:numPr>
          <w:ilvl w:val="0"/>
          <w:numId w:val="2"/>
        </w:numPr>
        <w:spacing w:after="80"/>
      </w:pPr>
      <w:r>
        <w:rPr>
          <w:rFonts w:ascii="Arial" w:cs="Arial" w:eastAsia="Arial" w:hAnsi="Arial"/>
          <w:b/>
          <w:bCs/>
          <w:sz w:val="22"/>
          <w:szCs w:val="22"/>
        </w:rPr>
        <w:t xml:space="preserve">Framework Crosswalk Template: </w:t>
      </w:r>
      <w:r>
        <w:rPr>
          <w:rFonts w:ascii="Arial" w:cs="Arial" w:eastAsia="Arial" w:hAnsi="Arial"/>
          <w:sz w:val="22"/>
          <w:szCs w:val="22"/>
        </w:rPr>
        <w:t xml:space="preserve">Mapping document linking previous and current framework versions to existing policies.</w:t>
      </w:r>
    </w:p>
    <w:p>
      <w:pPr>
        <w:pStyle w:val="ListParagraph"/>
        <w:numPr>
          <w:ilvl w:val="0"/>
          <w:numId w:val="2"/>
        </w:numPr>
        <w:spacing w:after="80"/>
      </w:pPr>
      <w:r>
        <w:rPr>
          <w:rFonts w:ascii="Arial" w:cs="Arial" w:eastAsia="Arial" w:hAnsi="Arial"/>
          <w:b/>
          <w:bCs/>
          <w:sz w:val="22"/>
          <w:szCs w:val="22"/>
        </w:rPr>
        <w:t xml:space="preserve">Policy Redline Template: </w:t>
      </w:r>
      <w:r>
        <w:rPr>
          <w:rFonts w:ascii="Arial" w:cs="Arial" w:eastAsia="Arial" w:hAnsi="Arial"/>
          <w:sz w:val="22"/>
          <w:szCs w:val="22"/>
        </w:rPr>
        <w:t xml:space="preserve">Standard format for tracked-change policy drafts.</w:t>
      </w:r>
    </w:p>
    <w:p>
      <w:pPr>
        <w:pStyle w:val="ListParagraph"/>
        <w:numPr>
          <w:ilvl w:val="0"/>
          <w:numId w:val="2"/>
        </w:numPr>
        <w:spacing w:after="80"/>
      </w:pPr>
      <w:r>
        <w:rPr>
          <w:rFonts w:ascii="Arial" w:cs="Arial" w:eastAsia="Arial" w:hAnsi="Arial"/>
          <w:b/>
          <w:bCs/>
          <w:sz w:val="22"/>
          <w:szCs w:val="22"/>
        </w:rPr>
        <w:t xml:space="preserve">Closure Report Template: </w:t>
      </w:r>
      <w:r>
        <w:rPr>
          <w:rFonts w:ascii="Arial" w:cs="Arial" w:eastAsia="Arial" w:hAnsi="Arial"/>
          <w:sz w:val="22"/>
          <w:szCs w:val="22"/>
        </w:rPr>
        <w:t xml:space="preserve">Summary report for governance committee confirming completion and embedding of policy updates.</w:t>
      </w:r>
    </w:p>
    <w:p>
      <w:pPr>
        <w:pStyle w:val="Heading1"/>
      </w:pPr>
      <w:r>
        <w:t xml:space="preserve">8. Review and Maintenance</w:t>
      </w:r>
    </w:p>
    <w:p>
      <w:pPr>
        <w:spacing w:after="120"/>
      </w:pPr>
      <w:r>
        <w:rPr>
          <w:rFonts w:ascii="Arial" w:cs="Arial" w:eastAsia="Arial" w:hAnsi="Arial"/>
          <w:sz w:val="22"/>
          <w:szCs w:val="22"/>
        </w:rPr>
        <w:t xml:space="preserve">This governance process document is subject to annual review by the CISO and the Information Security Governance Committee. The review assesses whether the process remains effective, whether triage criteria need updating, and whether the roles and responsibilities remain appropriate.</w:t>
      </w:r>
    </w:p>
    <w:p>
      <w:pPr>
        <w:spacing w:after="120"/>
      </w:pPr>
      <w:r>
        <w:rPr>
          <w:rFonts w:ascii="Arial" w:cs="Arial" w:eastAsia="Arial" w:hAnsi="Arial"/>
          <w:sz w:val="22"/>
          <w:szCs w:val="22"/>
        </w:rPr>
        <w:t xml:space="preserve">Out-of-cycle reviews may be triggered by significant changes to the organisation’s regulatory environment, material audit findings, or lessons learned from a completed policy update cycle.</w:t>
      </w:r>
    </w:p>
    <w:p>
      <w:pPr>
        <w:spacing w:after="120"/>
      </w:pPr>
      <w:r>
        <w:rPr>
          <w:rFonts w:ascii="Arial" w:cs="Arial" w:eastAsia="Arial" w:hAnsi="Arial"/>
          <w:sz w:val="22"/>
          <w:szCs w:val="22"/>
        </w:rPr>
        <w:t xml:space="preserve">All amendments to this document follow the same version control and approval process as the policies it governs.</w:t>
      </w:r>
    </w:p>
    <w:p>
      <w:pPr>
        <w:pStyle w:val="Heading1"/>
      </w:pPr>
      <w:r>
        <w:t xml:space="preserve">9. Document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1826"/>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1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CISO (Document Owner)</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 of GRC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Chief Risk Officer</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 Governance Committee Chair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6"/>
        <w:szCs w:val="16"/>
      </w:rPr>
      <w:t xml:space="preserve">Framework Change Governance Process</w:t>
    </w:r>
    <w:r>
      <w:rPr>
        <w:rFonts w:ascii="Arial" w:cs="Arial" w:eastAsia="Arial" w:hAnsi="Arial"/>
        <w:color w:val="999999"/>
        <w:sz w:val="16"/>
        <w:szCs w:val="16"/>
      </w:rPr>
      <w:t xml:space="preserve">	v1.0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2026-03-28T02:44:32.149Z</dcterms:created>
  <dcterms:modified xsi:type="dcterms:W3CDTF">2026-03-28T02:44:32.150Z</dcterms:modified>
</cp:coreProperties>
</file>

<file path=docProps/custom.xml><?xml version="1.0" encoding="utf-8"?>
<Properties xmlns="http://schemas.openxmlformats.org/officeDocument/2006/custom-properties" xmlns:vt="http://schemas.openxmlformats.org/officeDocument/2006/docPropsVTypes"/>
</file>