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pPr>
      <w:r>
        <w:rPr>
          <w:rFonts w:ascii="Calibri" w:cs="Calibri" w:eastAsia="Calibri" w:hAnsi="Calibri"/>
          <w:b/>
          <w:bCs/>
          <w:color w:val="1E2761"/>
          <w:spacing w:val="20"/>
          <w:sz w:val="20"/>
          <w:szCs w:val="20"/>
        </w:rPr>
        <w:t xml:space="preserve">FINANCIAL SERVICES  |  AI AGENT ENABLEMENT</w:t>
      </w:r>
    </w:p>
    <w:p>
      <w:pPr>
        <w:spacing w:after="100"/>
      </w:pPr>
      <w:r>
        <w:rPr>
          <w:rFonts w:ascii="Cambria" w:cs="Cambria" w:eastAsia="Cambria" w:hAnsi="Cambria"/>
          <w:b/>
          <w:bCs/>
          <w:color w:val="141B4D"/>
          <w:sz w:val="56"/>
          <w:szCs w:val="56"/>
        </w:rPr>
        <w:t xml:space="preserve">AI Agent Specification</w:t>
      </w:r>
    </w:p>
    <w:p>
      <w:pPr>
        <w:spacing w:after="300"/>
      </w:pPr>
      <w:r>
        <w:rPr>
          <w:rFonts w:ascii="Cambria" w:cs="Cambria" w:eastAsia="Cambria" w:hAnsi="Cambria"/>
          <w:b/>
          <w:bCs/>
          <w:color w:val="1E2761"/>
          <w:sz w:val="32"/>
          <w:szCs w:val="32"/>
        </w:rPr>
        <w:t xml:space="preserve">Complete Schema Reference &amp; Code Generation Design</w:t>
      </w:r>
    </w:p>
    <w:p>
      <w:pPr>
        <w:spacing w:after="900"/>
      </w:pPr>
      <w:r>
        <w:rPr>
          <w:rFonts w:ascii="Calibri" w:cs="Calibri" w:eastAsia="Calibri" w:hAnsi="Calibri"/>
          <w:i/>
          <w:iCs/>
          <w:color w:val="6E7488"/>
          <w:sz w:val="22"/>
          <w:szCs w:val="22"/>
        </w:rPr>
        <w:t xml:space="preserve">Version 0.1  —  Engineering Reference Document</w:t>
      </w:r>
    </w:p>
    <w:tbl>
      <w:tblPr>
        <w:tblW w:type="dxa" w:w="9360"/>
        <w:tblBorders>
          <w:top w:val="single" w:color="1E2761" w:sz="4"/>
          <w:left w:val="single" w:color="1E2761" w:sz="4"/>
          <w:bottom w:val="single" w:color="1E2761" w:sz="4"/>
          <w:right w:val="single" w:color="1E2761" w:sz="4"/>
          <w:insideH w:val="single" w:color="auto" w:sz="4"/>
          <w:insideV w:val="single" w:color="auto" w:sz="4"/>
        </w:tblBorders>
      </w:tblPr>
      <w:tblGrid>
        <w:gridCol w:w="100"/>
      </w:tblGrid>
      <w:tr>
        <w:tc>
          <w:tcPr>
            <w:tcW w:type="dxa" w:w="9360"/>
            <w:shd w:fill="EAF1FD" w:val="clear"/>
            <w:tcMar>
              <w:top w:type="dxa" w:w="160"/>
              <w:left w:type="dxa" w:w="200"/>
              <w:bottom w:type="dxa" w:w="160"/>
              <w:right w:type="dxa" w:w="200"/>
            </w:tcMar>
          </w:tcPr>
          <w:p>
            <w:r>
              <w:rPr>
                <w:rFonts w:ascii="Calibri" w:cs="Calibri" w:eastAsia="Calibri" w:hAnsi="Calibri"/>
                <w:i/>
                <w:iCs/>
                <w:color w:val="141B4D"/>
                <w:sz w:val="21"/>
                <w:szCs w:val="21"/>
              </w:rPr>
              <w:t xml:space="preserve">This document defines the complete agent specification schema field-by-field, and explains — stage by stage — how the code generator turns a validated spec into a runnable agent. It is written for engineers building the platform.</w:t>
            </w:r>
          </w:p>
        </w:tc>
      </w:tr>
    </w:tbl>
    <w:p>
      <w:r>
        <w:br w:type="page"/>
      </w:r>
    </w:p>
    <w:p>
      <w:pPr>
        <w:pStyle w:val="Heading1"/>
        <w:spacing w:after="200" w:before="4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80"/>
      </w:pPr>
      <w:r>
        <w:t xml:space="preserve">1. Introduction</w:t>
      </w:r>
    </w:p>
    <w:p>
      <w:pPr>
        <w:spacing w:after="180" w:line="276"/>
      </w:pPr>
      <w:r>
        <w:rPr>
          <w:rFonts w:ascii="Calibri" w:cs="Calibri" w:eastAsia="Calibri" w:hAnsi="Calibri"/>
          <w:b w:val="false"/>
          <w:bCs w:val="false"/>
          <w:i w:val="false"/>
          <w:iCs w:val="false"/>
          <w:color w:val="202030"/>
          <w:sz w:val="22"/>
          <w:szCs w:val="22"/>
        </w:rPr>
        <w:t xml:space="preserve">This document has two parts. Part I is the complete reference for the AI Agent Specification — every top-level section, every field, its type, whether it is required, and what it means. Part II explains the code generator that consumes a validated specification and produces a runnable agent: what each of its five stages does, what data structures pass between them, and how to extend it with new targets.</w:t>
      </w:r>
    </w:p>
    <w:p>
      <w:pPr>
        <w:spacing w:after="180" w:line="276"/>
      </w:pPr>
      <w:r>
        <w:rPr>
          <w:rFonts w:ascii="Calibri" w:cs="Calibri" w:eastAsia="Calibri" w:hAnsi="Calibri"/>
          <w:b w:val="false"/>
          <w:bCs w:val="false"/>
          <w:i w:val="false"/>
          <w:iCs w:val="false"/>
          <w:color w:val="202030"/>
          <w:sz w:val="22"/>
          <w:szCs w:val="22"/>
        </w:rPr>
        <w:t xml:space="preserve">The specification is designed on the same principle as OpenAPI (Swagger) for REST APIs: one machine-readable, declarative document that fully describes an agent, so that document — not a person re-reading code — becomes the source of truth for what the agent does, what it may access, and how it is governed.</w:t>
      </w:r>
    </w:p>
    <w:p>
      <w:pPr>
        <w:pStyle w:val="Heading2"/>
        <w:spacing w:after="160" w:before="340"/>
      </w:pPr>
      <w:r>
        <w:t xml:space="preserve">1.1 How to Read This Document</w:t>
      </w:r>
    </w:p>
    <w:p>
      <w:pPr>
        <w:pStyle w:val="ListParagraph"/>
        <w:numPr>
          <w:ilvl w:val="0"/>
          <w:numId w:val="1"/>
        </w:numPr>
        <w:spacing w:after="90" w:line="264"/>
      </w:pPr>
      <w:r>
        <w:rPr>
          <w:rFonts w:ascii="Calibri" w:cs="Calibri" w:eastAsia="Calibri" w:hAnsi="Calibri"/>
          <w:color w:val="202030"/>
          <w:sz w:val="22"/>
          <w:szCs w:val="22"/>
        </w:rPr>
        <w:t xml:space="preserve">Part I (Sections 2–4) is the schema reference. Use it as the field dictionary when authoring or reviewing an agent spec.</w:t>
      </w:r>
    </w:p>
    <w:p>
      <w:pPr>
        <w:pStyle w:val="ListParagraph"/>
        <w:numPr>
          <w:ilvl w:val="0"/>
          <w:numId w:val="1"/>
        </w:numPr>
        <w:spacing w:after="90" w:line="264"/>
      </w:pPr>
      <w:r>
        <w:rPr>
          <w:rFonts w:ascii="Calibri" w:cs="Calibri" w:eastAsia="Calibri" w:hAnsi="Calibri"/>
          <w:color w:val="202030"/>
          <w:sz w:val="22"/>
          <w:szCs w:val="22"/>
        </w:rPr>
        <w:t xml:space="preserve">Section 5 is a complete, internally consistent example specification.</w:t>
      </w:r>
    </w:p>
    <w:p>
      <w:pPr>
        <w:pStyle w:val="ListParagraph"/>
        <w:numPr>
          <w:ilvl w:val="0"/>
          <w:numId w:val="1"/>
        </w:numPr>
        <w:spacing w:after="90" w:line="264"/>
      </w:pPr>
      <w:r>
        <w:rPr>
          <w:rFonts w:ascii="Calibri" w:cs="Calibri" w:eastAsia="Calibri" w:hAnsi="Calibri"/>
          <w:color w:val="202030"/>
          <w:sz w:val="22"/>
          <w:szCs w:val="22"/>
        </w:rPr>
        <w:t xml:space="preserve">Appendix A is the formal JSON Schema — the artifact the Validator stage actually runs against.</w:t>
      </w:r>
    </w:p>
    <w:p>
      <w:pPr>
        <w:pStyle w:val="ListParagraph"/>
        <w:numPr>
          <w:ilvl w:val="0"/>
          <w:numId w:val="1"/>
        </w:numPr>
        <w:spacing w:after="90" w:line="264"/>
      </w:pPr>
      <w:r>
        <w:rPr>
          <w:rFonts w:ascii="Calibri" w:cs="Calibri" w:eastAsia="Calibri" w:hAnsi="Calibri"/>
          <w:color w:val="202030"/>
          <w:sz w:val="22"/>
          <w:szCs w:val="22"/>
        </w:rPr>
        <w:t xml:space="preserve">Part II (Sections 6–9) is the code generator design — use it as the engineering blueprint for building the pipeline.</w:t>
      </w:r>
    </w:p>
    <w:p>
      <w:pPr>
        <w:pStyle w:val="Heading2"/>
        <w:spacing w:after="160" w:before="340"/>
      </w:pPr>
      <w:r>
        <w:t xml:space="preserve">1.2 Notation</w:t>
      </w:r>
    </w:p>
    <w:p>
      <w:pPr>
        <w:pStyle w:val="ListParagraph"/>
        <w:numPr>
          <w:ilvl w:val="0"/>
          <w:numId w:val="1"/>
        </w:numPr>
        <w:spacing w:after="90" w:line="264"/>
      </w:pPr>
      <w:r>
        <w:rPr>
          <w:rFonts w:ascii="Calibri" w:cs="Calibri" w:eastAsia="Calibri" w:hAnsi="Calibri"/>
          <w:color w:val="202030"/>
          <w:sz w:val="22"/>
          <w:szCs w:val="22"/>
        </w:rPr>
        <w:t xml:space="preserve">Field names are shown in monospace (e.g. specVersion).</w:t>
      </w:r>
    </w:p>
    <w:p>
      <w:pPr>
        <w:pStyle w:val="ListParagraph"/>
        <w:numPr>
          <w:ilvl w:val="0"/>
          <w:numId w:val="1"/>
        </w:numPr>
        <w:spacing w:after="90" w:line="264"/>
      </w:pPr>
      <w:r>
        <w:rPr>
          <w:rFonts w:ascii="Calibri" w:cs="Calibri" w:eastAsia="Calibri" w:hAnsi="Calibri"/>
          <w:color w:val="202030"/>
          <w:sz w:val="22"/>
          <w:szCs w:val="22"/>
        </w:rPr>
        <w:t xml:space="preserve">“Required: Yes” means the field must be present for the spec to pass schema validation. “Cond.” means required only under conditions noted in the field description.</w:t>
      </w:r>
    </w:p>
    <w:p>
      <w:pPr>
        <w:pStyle w:val="ListParagraph"/>
        <w:numPr>
          <w:ilvl w:val="0"/>
          <w:numId w:val="1"/>
        </w:numPr>
        <w:spacing w:after="90" w:line="264"/>
      </w:pPr>
      <w:r>
        <w:rPr>
          <w:rFonts w:ascii="Calibri" w:cs="Calibri" w:eastAsia="Calibri" w:hAnsi="Calibri"/>
          <w:color w:val="202030"/>
          <w:sz w:val="22"/>
          <w:szCs w:val="22"/>
        </w:rPr>
        <w:t xml:space="preserve">Types follow standard JSON Schema primitives (string, integer, number, boolean, object, array) plus enum for a fixed set of string values.</w:t>
      </w:r>
    </w:p>
    <w:p>
      <w:pPr>
        <w:pStyle w:val="Heading1"/>
        <w:spacing w:after="200" w:before="480"/>
      </w:pPr>
      <w:r>
        <w:t xml:space="preserve">2. Specification Design Principles</w:t>
      </w:r>
    </w:p>
    <w:p>
      <w:pPr>
        <w:spacing w:after="180" w:line="276"/>
      </w:pPr>
      <w:r>
        <w:rPr>
          <w:rFonts w:ascii="Calibri" w:cs="Calibri" w:eastAsia="Calibri" w:hAnsi="Calibri"/>
          <w:b w:val="false"/>
          <w:bCs w:val="false"/>
          <w:i w:val="false"/>
          <w:iCs w:val="false"/>
          <w:color w:val="202030"/>
          <w:sz w:val="22"/>
          <w:szCs w:val="22"/>
        </w:rPr>
        <w:t xml:space="preserve">Six principles govern every design decision in the schema below. They matter because they are the criteria for evaluating any proposed change or extension to the spec.</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2400"/>
        <w:gridCol w:w="6960"/>
      </w:tblGrid>
      <w:tr>
        <w:tc>
          <w:tcPr>
            <w:tcW w:type="dxa" w:w="24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Declarative</w:t>
            </w:r>
          </w:p>
        </w:tc>
        <w:tc>
          <w:tcPr>
            <w:tcW w:type="dxa" w:w="6960"/>
            <w:shd w:fill="FFFFFF" w:val="clear"/>
            <w:tcMar>
              <w:top w:type="dxa" w:w="90"/>
              <w:left w:type="dxa" w:w="120"/>
              <w:bottom w:type="dxa" w:w="90"/>
              <w:right w:type="dxa" w:w="120"/>
            </w:tcMar>
          </w:tcPr>
          <w:p>
            <w:r>
              <w:rPr>
                <w:rFonts w:ascii="Calibri" w:cs="Calibri" w:eastAsia="Calibri" w:hAnsi="Calibri"/>
                <w:color w:val="3B4256"/>
                <w:sz w:val="19"/>
                <w:szCs w:val="19"/>
              </w:rPr>
              <w:t xml:space="preserve">The spec describes what the agent is and may do. It never describes how the generated code is implemented — that is the generator's job, not the author's.</w:t>
            </w:r>
          </w:p>
        </w:tc>
      </w:tr>
      <w:tr>
        <w:tc>
          <w:tcPr>
            <w:tcW w:type="dxa" w:w="2400"/>
            <w:shd w:fill="EAF1FD" w:val="clear"/>
            <w:tcMar>
              <w:top w:type="dxa" w:w="90"/>
              <w:left w:type="dxa" w:w="120"/>
              <w:bottom w:type="dxa" w:w="90"/>
              <w:right w:type="dxa" w:w="120"/>
            </w:tcMar>
          </w:tcPr>
          <w:p>
            <w:r>
              <w:rPr>
                <w:rFonts w:ascii="Calibri" w:cs="Calibri" w:eastAsia="Calibri" w:hAnsi="Calibri"/>
                <w:b/>
                <w:bCs/>
                <w:color w:val="141B4D"/>
                <w:sz w:val="19"/>
                <w:szCs w:val="19"/>
              </w:rPr>
              <w:t xml:space="preserve">Machine-validated</w:t>
            </w:r>
          </w:p>
        </w:tc>
        <w:tc>
          <w:tcPr>
            <w:tcW w:type="dxa" w:w="6960"/>
            <w:shd w:fill="EAF1FD" w:val="clear"/>
            <w:tcMar>
              <w:top w:type="dxa" w:w="90"/>
              <w:left w:type="dxa" w:w="120"/>
              <w:bottom w:type="dxa" w:w="90"/>
              <w:right w:type="dxa" w:w="120"/>
            </w:tcMar>
          </w:tcPr>
          <w:p>
            <w:r>
              <w:rPr>
                <w:rFonts w:ascii="Calibri" w:cs="Calibri" w:eastAsia="Calibri" w:hAnsi="Calibri"/>
                <w:color w:val="3B4256"/>
                <w:sz w:val="19"/>
                <w:szCs w:val="19"/>
              </w:rPr>
              <w:t xml:space="preserve">Every constraint in this document is checkable by software before code is generated: structural constraints via JSON Schema, cross-field business constraints via policy rules (Section 7.2).</w:t>
            </w:r>
          </w:p>
        </w:tc>
      </w:tr>
      <w:tr>
        <w:tc>
          <w:tcPr>
            <w:tcW w:type="dxa" w:w="24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Framework-agnostic</w:t>
            </w:r>
          </w:p>
        </w:tc>
        <w:tc>
          <w:tcPr>
            <w:tcW w:type="dxa" w:w="6960"/>
            <w:shd w:fill="FFFFFF" w:val="clear"/>
            <w:tcMar>
              <w:top w:type="dxa" w:w="90"/>
              <w:left w:type="dxa" w:w="120"/>
              <w:bottom w:type="dxa" w:w="90"/>
              <w:right w:type="dxa" w:w="120"/>
            </w:tcMar>
          </w:tcPr>
          <w:p>
            <w:r>
              <w:rPr>
                <w:rFonts w:ascii="Calibri" w:cs="Calibri" w:eastAsia="Calibri" w:hAnsi="Calibri"/>
                <w:color w:val="3B4256"/>
                <w:sz w:val="19"/>
                <w:szCs w:val="19"/>
              </w:rPr>
              <w:t xml:space="preserve">The spec makes no assumption about a specific orchestration library, runtime, or model provider. Target adapters (Section 7.5) translate it into a specific stack.</w:t>
            </w:r>
          </w:p>
        </w:tc>
      </w:tr>
      <w:tr>
        <w:tc>
          <w:tcPr>
            <w:tcW w:type="dxa" w:w="2400"/>
            <w:shd w:fill="EAF1FD" w:val="clear"/>
            <w:tcMar>
              <w:top w:type="dxa" w:w="90"/>
              <w:left w:type="dxa" w:w="120"/>
              <w:bottom w:type="dxa" w:w="90"/>
              <w:right w:type="dxa" w:w="120"/>
            </w:tcMar>
          </w:tcPr>
          <w:p>
            <w:r>
              <w:rPr>
                <w:rFonts w:ascii="Calibri" w:cs="Calibri" w:eastAsia="Calibri" w:hAnsi="Calibri"/>
                <w:b/>
                <w:bCs/>
                <w:color w:val="141B4D"/>
                <w:sz w:val="19"/>
                <w:szCs w:val="19"/>
              </w:rPr>
              <w:t xml:space="preserve">Versioned &amp; backward-compatible</w:t>
            </w:r>
          </w:p>
        </w:tc>
        <w:tc>
          <w:tcPr>
            <w:tcW w:type="dxa" w:w="6960"/>
            <w:shd w:fill="EAF1FD" w:val="clear"/>
            <w:tcMar>
              <w:top w:type="dxa" w:w="90"/>
              <w:left w:type="dxa" w:w="120"/>
              <w:bottom w:type="dxa" w:w="90"/>
              <w:right w:type="dxa" w:w="120"/>
            </w:tcMar>
          </w:tcPr>
          <w:p>
            <w:r>
              <w:rPr>
                <w:rFonts w:ascii="Calibri" w:cs="Calibri" w:eastAsia="Calibri" w:hAnsi="Calibri"/>
                <w:color w:val="3B4256"/>
                <w:sz w:val="19"/>
                <w:szCs w:val="19"/>
              </w:rPr>
              <w:t xml:space="preserve">Both the schema itself (specVersion) and each individual agent spec (info.version) are versioned using semantic versioning.</w:t>
            </w:r>
          </w:p>
        </w:tc>
      </w:tr>
      <w:tr>
        <w:tc>
          <w:tcPr>
            <w:tcW w:type="dxa" w:w="24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Composable</w:t>
            </w:r>
          </w:p>
        </w:tc>
        <w:tc>
          <w:tcPr>
            <w:tcW w:type="dxa" w:w="6960"/>
            <w:shd w:fill="FFFFFF" w:val="clear"/>
            <w:tcMar>
              <w:top w:type="dxa" w:w="90"/>
              <w:left w:type="dxa" w:w="120"/>
              <w:bottom w:type="dxa" w:w="90"/>
              <w:right w:type="dxa" w:w="120"/>
            </w:tcMar>
          </w:tcPr>
          <w:p>
            <w:r>
              <w:rPr>
                <w:rFonts w:ascii="Calibri" w:cs="Calibri" w:eastAsia="Calibri" w:hAnsi="Calibri"/>
                <w:color w:val="3B4256"/>
                <w:sz w:val="19"/>
                <w:szCs w:val="19"/>
              </w:rPr>
              <w:t xml:space="preserve">Tool, prompt, and guardrail definitions can be referenced (via $ref or a *Ref field) and reused across multiple agent specs rather than redefined.</w:t>
            </w:r>
          </w:p>
        </w:tc>
      </w:tr>
      <w:tr>
        <w:tc>
          <w:tcPr>
            <w:tcW w:type="dxa" w:w="2400"/>
            <w:shd w:fill="EAF1FD" w:val="clear"/>
            <w:tcMar>
              <w:top w:type="dxa" w:w="90"/>
              <w:left w:type="dxa" w:w="120"/>
              <w:bottom w:type="dxa" w:w="90"/>
              <w:right w:type="dxa" w:w="120"/>
            </w:tcMar>
          </w:tcPr>
          <w:p>
            <w:r>
              <w:rPr>
                <w:rFonts w:ascii="Calibri" w:cs="Calibri" w:eastAsia="Calibri" w:hAnsi="Calibri"/>
                <w:b/>
                <w:bCs/>
                <w:color w:val="141B4D"/>
                <w:sz w:val="19"/>
                <w:szCs w:val="19"/>
              </w:rPr>
              <w:t xml:space="preserve">Secure by construction</w:t>
            </w:r>
          </w:p>
        </w:tc>
        <w:tc>
          <w:tcPr>
            <w:tcW w:type="dxa" w:w="6960"/>
            <w:shd w:fill="EAF1FD" w:val="clear"/>
            <w:tcMar>
              <w:top w:type="dxa" w:w="90"/>
              <w:left w:type="dxa" w:w="120"/>
              <w:bottom w:type="dxa" w:w="90"/>
              <w:right w:type="dxa" w:w="120"/>
            </w:tcMar>
          </w:tcPr>
          <w:p>
            <w:r>
              <w:rPr>
                <w:rFonts w:ascii="Calibri" w:cs="Calibri" w:eastAsia="Calibri" w:hAnsi="Calibri"/>
                <w:color w:val="3B4256"/>
                <w:sz w:val="19"/>
                <w:szCs w:val="19"/>
              </w:rPr>
              <w:t xml:space="preserve">Credentials, data access, and autonomy limits are explicit, required fields — never left implicit in code the generator writes.</w:t>
            </w:r>
          </w:p>
        </w:tc>
      </w:tr>
    </w:tbl>
    <w:p>
      <w:pPr>
        <w:spacing w:after="200"/>
      </w:pPr>
    </w:p>
    <w:p>
      <w:r>
        <w:br w:type="page"/>
      </w:r>
    </w:p>
    <w:p>
      <w:pPr>
        <w:pStyle w:val="Heading1"/>
        <w:spacing w:after="200" w:before="480"/>
      </w:pPr>
      <w:r>
        <w:t xml:space="preserve">Part I — Specification Reference</w:t>
      </w:r>
    </w:p>
    <w:p>
      <w:pPr>
        <w:pStyle w:val="Heading1"/>
        <w:spacing w:after="200" w:before="480"/>
      </w:pPr>
      <w:r>
        <w:t xml:space="preserve">3. Root Document &amp; Versioning</w:t>
      </w:r>
    </w:p>
    <w:p>
      <w:pPr>
        <w:spacing w:after="180" w:line="276"/>
      </w:pPr>
      <w:r>
        <w:rPr>
          <w:rFonts w:ascii="Calibri" w:cs="Calibri" w:eastAsia="Calibri" w:hAnsi="Calibri"/>
          <w:b w:val="false"/>
          <w:bCs w:val="false"/>
          <w:i w:val="false"/>
          <w:iCs w:val="false"/>
          <w:color w:val="202030"/>
          <w:sz w:val="22"/>
          <w:szCs w:val="22"/>
        </w:rPr>
        <w:t xml:space="preserve">Every agent spec is a single YAML or JSON document with one root object, conventionally named agentSpec in this reference. The root has thirteen members: specVersion plus the twelve top-level sections described in Section 4.</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1685"/>
        <w:gridCol w:w="1310"/>
        <w:gridCol w:w="936"/>
        <w:gridCol w:w="1123"/>
        <w:gridCol w:w="4306"/>
      </w:tblGrid>
      <w:tr>
        <w:trPr>
          <w:tblHeader/>
        </w:trPr>
        <w:tc>
          <w:tcPr>
            <w:tcW w:type="dxa" w:w="1685"/>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1310"/>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93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Required</w:t>
            </w:r>
          </w:p>
        </w:tc>
        <w:tc>
          <w:tcPr>
            <w:tcW w:type="dxa" w:w="1123"/>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Default</w:t>
            </w:r>
          </w:p>
        </w:tc>
        <w:tc>
          <w:tcPr>
            <w:tcW w:type="dxa" w:w="430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specVersion</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Version of the agent specification schema this document conforms to (e.g. "0.1"). The Validator rejects a spec whose specVersion it does not recognize.</w:t>
            </w:r>
          </w:p>
        </w:tc>
      </w:tr>
    </w:tbl>
    <w:p>
      <w:pPr>
        <w:spacing w:after="160"/>
      </w:pPr>
    </w:p>
    <w:p>
      <w:pPr>
        <w:spacing w:after="180" w:line="276"/>
      </w:pPr>
      <w:r>
        <w:rPr>
          <w:rFonts w:ascii="Calibri" w:cs="Calibri" w:eastAsia="Calibri" w:hAnsi="Calibri"/>
          <w:b w:val="false"/>
          <w:bCs w:val="false"/>
          <w:i w:val="false"/>
          <w:iCs w:val="false"/>
          <w:color w:val="202030"/>
          <w:sz w:val="22"/>
          <w:szCs w:val="22"/>
        </w:rPr>
        <w:t xml:space="preserve">The twelve sections are independent objects (or arrays of objects) nested under the root. Sections are grouped below into four logical clusters purely for readability — the schema itself treats all twelve as peers under the root.</w:t>
      </w:r>
    </w:p>
    <w:p>
      <w:pPr>
        <w:pStyle w:val="ListParagraph"/>
        <w:numPr>
          <w:ilvl w:val="0"/>
          <w:numId w:val="1"/>
        </w:numPr>
        <w:spacing w:after="90" w:line="264"/>
      </w:pPr>
      <w:r>
        <w:rPr>
          <w:rFonts w:ascii="Calibri" w:cs="Calibri" w:eastAsia="Calibri" w:hAnsi="Calibri"/>
          <w:color w:val="202030"/>
          <w:sz w:val="22"/>
          <w:szCs w:val="22"/>
        </w:rPr>
        <w:t xml:space="preserve">Identity &amp; Capability: info, capabilities, tools</w:t>
      </w:r>
    </w:p>
    <w:p>
      <w:pPr>
        <w:pStyle w:val="ListParagraph"/>
        <w:numPr>
          <w:ilvl w:val="0"/>
          <w:numId w:val="1"/>
        </w:numPr>
        <w:spacing w:after="90" w:line="264"/>
      </w:pPr>
      <w:r>
        <w:rPr>
          <w:rFonts w:ascii="Calibri" w:cs="Calibri" w:eastAsia="Calibri" w:hAnsi="Calibri"/>
          <w:color w:val="202030"/>
          <w:sz w:val="22"/>
          <w:szCs w:val="22"/>
        </w:rPr>
        <w:t xml:space="preserve">Data &amp; Reasoning: dataContracts, model, memory</w:t>
      </w:r>
    </w:p>
    <w:p>
      <w:pPr>
        <w:pStyle w:val="ListParagraph"/>
        <w:numPr>
          <w:ilvl w:val="0"/>
          <w:numId w:val="1"/>
        </w:numPr>
        <w:spacing w:after="90" w:line="264"/>
      </w:pPr>
      <w:r>
        <w:rPr>
          <w:rFonts w:ascii="Calibri" w:cs="Calibri" w:eastAsia="Calibri" w:hAnsi="Calibri"/>
          <w:color w:val="202030"/>
          <w:sz w:val="22"/>
          <w:szCs w:val="22"/>
        </w:rPr>
        <w:t xml:space="preserve">Control &amp; Access: guardrails, auth, humanInLoop</w:t>
      </w:r>
    </w:p>
    <w:p>
      <w:pPr>
        <w:pStyle w:val="ListParagraph"/>
        <w:numPr>
          <w:ilvl w:val="0"/>
          <w:numId w:val="1"/>
        </w:numPr>
        <w:spacing w:after="90" w:line="264"/>
      </w:pPr>
      <w:r>
        <w:rPr>
          <w:rFonts w:ascii="Calibri" w:cs="Calibri" w:eastAsia="Calibri" w:hAnsi="Calibri"/>
          <w:color w:val="202030"/>
          <w:sz w:val="22"/>
          <w:szCs w:val="22"/>
        </w:rPr>
        <w:t xml:space="preserve">Operations: observability, errorHandling, deployment</w:t>
      </w:r>
    </w:p>
    <w:p>
      <w:pPr>
        <w:pStyle w:val="Heading1"/>
        <w:spacing w:after="200" w:before="480"/>
      </w:pPr>
      <w:r>
        <w:t xml:space="preserve">4. Specification Sections</w:t>
      </w:r>
    </w:p>
    <w:p>
      <w:pPr>
        <w:pStyle w:val="Heading2"/>
        <w:spacing w:after="160" w:before="340"/>
      </w:pPr>
      <w:r>
        <w:t xml:space="preserve">4.1 info</w:t>
      </w:r>
    </w:p>
    <w:p>
      <w:pPr>
        <w:spacing w:after="180" w:line="276"/>
      </w:pPr>
      <w:r>
        <w:rPr>
          <w:rFonts w:ascii="Calibri" w:cs="Calibri" w:eastAsia="Calibri" w:hAnsi="Calibri"/>
          <w:b w:val="false"/>
          <w:bCs w:val="false"/>
          <w:i w:val="false"/>
          <w:iCs w:val="false"/>
          <w:color w:val="202030"/>
          <w:sz w:val="22"/>
          <w:szCs w:val="22"/>
        </w:rPr>
        <w:t xml:space="preserve">Identity, ownership, and lifecycle status of the agent. This is the section a registry indexes on.</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1685"/>
        <w:gridCol w:w="1310"/>
        <w:gridCol w:w="936"/>
        <w:gridCol w:w="1123"/>
        <w:gridCol w:w="4306"/>
      </w:tblGrid>
      <w:tr>
        <w:trPr>
          <w:tblHeader/>
        </w:trPr>
        <w:tc>
          <w:tcPr>
            <w:tcW w:type="dxa" w:w="1685"/>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1310"/>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93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Required</w:t>
            </w:r>
          </w:p>
        </w:tc>
        <w:tc>
          <w:tcPr>
            <w:tcW w:type="dxa" w:w="1123"/>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Default</w:t>
            </w:r>
          </w:p>
        </w:tc>
        <w:tc>
          <w:tcPr>
            <w:tcW w:type="dxa" w:w="430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name</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Unique, stable, kebab-case identifier for the agent, e.g. kyc-refresh-agent. Immutable once registered — renaming requires a new agent entry.</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version</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 (semver)</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Semantic version of this specific agent definition, e.g. 1.2.0. Incremented on any change to the spec.</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owner</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Accountable team or individual, typically an internal team handle, e.g. retail-banking-platform.</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description</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Plain-language statement of the agent's business purpose. Shown in the registry and in generated documentation.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lifecycle</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enum</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draft</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One of draft, pilot, production, deprecated. Gates which deployment environments (Section 4.12) the agent may target.</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tags</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array&lt;string&gt;</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Free-text labels used for discovery and filtering in the agent registry, e.g. ["kyc", "retail-banking"].</w:t>
            </w:r>
          </w:p>
        </w:tc>
      </w:tr>
    </w:tbl>
    <w:p>
      <w:pPr>
        <w:pStyle w:val="Heading2"/>
        <w:spacing w:after="160" w:before="340"/>
      </w:pPr>
      <w:r>
        <w:t xml:space="preserve">4.2 capabilities[]</w:t>
      </w:r>
    </w:p>
    <w:p>
      <w:pPr>
        <w:spacing w:after="180" w:line="276"/>
      </w:pPr>
      <w:r>
        <w:rPr>
          <w:rFonts w:ascii="Calibri" w:cs="Calibri" w:eastAsia="Calibri" w:hAnsi="Calibri"/>
          <w:b w:val="false"/>
          <w:bCs w:val="false"/>
          <w:i w:val="false"/>
          <w:iCs w:val="false"/>
          <w:color w:val="202030"/>
          <w:sz w:val="22"/>
          <w:szCs w:val="22"/>
        </w:rPr>
        <w:t xml:space="preserve">An array of the discrete tasks the agent performs. Each capability is independently testable and independently documented; together they define the full scope of what the agent may be asked to do.</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1685"/>
        <w:gridCol w:w="1310"/>
        <w:gridCol w:w="936"/>
        <w:gridCol w:w="1123"/>
        <w:gridCol w:w="4306"/>
      </w:tblGrid>
      <w:tr>
        <w:trPr>
          <w:tblHeader/>
        </w:trPr>
        <w:tc>
          <w:tcPr>
            <w:tcW w:type="dxa" w:w="1685"/>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1310"/>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93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Required</w:t>
            </w:r>
          </w:p>
        </w:tc>
        <w:tc>
          <w:tcPr>
            <w:tcW w:type="dxa" w:w="1123"/>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Default</w:t>
            </w:r>
          </w:p>
        </w:tc>
        <w:tc>
          <w:tcPr>
            <w:tcW w:type="dxa" w:w="430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id</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Unique capability identifier within the agent, kebab-case, e.g. summarize-kyc-gaps.</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description</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What task this capability performs, in plain language a reviewer can assess without reading code.</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inputs</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JSON Schema</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Structure of the input the capability expects. May be inline or a $ref to a shared schema fragment.</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outputs</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JSON Schema</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Structure of the result the capability produces. May be inline or a $ref.</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scopeBoundaries</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Explicit statement of what is out of scope for this capability, to bound autonomous interpretation of ambiguous requests.</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examples</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array&lt;object&gt;</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Sample input/output pairs, used both as living documentation and as seed cases for the generated eval suite (Section 8).</w:t>
            </w:r>
          </w:p>
        </w:tc>
      </w:tr>
    </w:tbl>
    <w:p>
      <w:pPr>
        <w:pStyle w:val="Heading2"/>
        <w:spacing w:after="160" w:before="340"/>
      </w:pPr>
      <w:r>
        <w:t xml:space="preserve">4.3 tools[]</w:t>
      </w:r>
    </w:p>
    <w:p>
      <w:pPr>
        <w:spacing w:after="180" w:line="276"/>
      </w:pPr>
      <w:r>
        <w:rPr>
          <w:rFonts w:ascii="Calibri" w:cs="Calibri" w:eastAsia="Calibri" w:hAnsi="Calibri"/>
          <w:b w:val="false"/>
          <w:bCs w:val="false"/>
          <w:i w:val="false"/>
          <w:iCs w:val="false"/>
          <w:color w:val="202030"/>
          <w:sz w:val="22"/>
          <w:szCs w:val="22"/>
        </w:rPr>
        <w:t xml:space="preserve">An array of the callable actions available to the agent — the only way the agent affects or reads anything outside its own reasoning. Every side effect an agent can have must be declared here.</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1685"/>
        <w:gridCol w:w="1310"/>
        <w:gridCol w:w="936"/>
        <w:gridCol w:w="1123"/>
        <w:gridCol w:w="4306"/>
      </w:tblGrid>
      <w:tr>
        <w:trPr>
          <w:tblHeader/>
        </w:trPr>
        <w:tc>
          <w:tcPr>
            <w:tcW w:type="dxa" w:w="1685"/>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1310"/>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93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Required</w:t>
            </w:r>
          </w:p>
        </w:tc>
        <w:tc>
          <w:tcPr>
            <w:tcW w:type="dxa" w:w="1123"/>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Default</w:t>
            </w:r>
          </w:p>
        </w:tc>
        <w:tc>
          <w:tcPr>
            <w:tcW w:type="dxa" w:w="430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id</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Unique tool identifier, e.g. get-customer-profile.</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type</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enum</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One of function (in-process call), http (REST call), mcp (Model Context Protocol tool). Determines which target-adapter binding is generated.</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description</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What the tool does and when the agent should call it — used both for generated docs and as part of the model's tool-selection context.</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schema</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JSON Schema</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Input and output contract for the tool call. Validated at generation time and enforced at runtime (contract tests, Section 8).</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sideEffects</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enum</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One of none, read, write, irreversible. Directly drives whether humanInLoop checkpoints are required (Section 4.9, policy rule in Section 7.2).</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rateLimit</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object</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 maxCalls: integer, perSeconds: integer }. Enforced by the generated tool-binding wrapper.</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authRef</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Reference into auth.scopesPerTool (Section 4.8) naming the permission scope this tool requires.</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timeoutMs</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integer</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30000</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Maximum time allowed for the tool call before it is treated as a timeout (Section 4.11).</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retryPolicy</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object</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 maxRetries: integer, backoff: fixed | exponential }. Applied by the generated tool-binding wrapper before escalating to errorHandling.onToolFailure.</w:t>
            </w:r>
          </w:p>
        </w:tc>
      </w:tr>
    </w:tbl>
    <w:p>
      <w:pPr>
        <w:pStyle w:val="Heading2"/>
        <w:spacing w:after="160" w:before="340"/>
      </w:pPr>
      <w:r>
        <w:t xml:space="preserve">4.4 dataContracts[]</w:t>
      </w:r>
    </w:p>
    <w:p>
      <w:pPr>
        <w:spacing w:after="180" w:line="276"/>
      </w:pPr>
      <w:r>
        <w:rPr>
          <w:rFonts w:ascii="Calibri" w:cs="Calibri" w:eastAsia="Calibri" w:hAnsi="Calibri"/>
          <w:b w:val="false"/>
          <w:bCs w:val="false"/>
          <w:i w:val="false"/>
          <w:iCs w:val="false"/>
          <w:color w:val="202030"/>
          <w:sz w:val="22"/>
          <w:szCs w:val="22"/>
        </w:rPr>
        <w:t xml:space="preserve">An array declaring every data source the agent may read or write, and the terms under which it may do so. This section is what a data-governance reviewer reads first.</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1685"/>
        <w:gridCol w:w="1310"/>
        <w:gridCol w:w="936"/>
        <w:gridCol w:w="1123"/>
        <w:gridCol w:w="4306"/>
      </w:tblGrid>
      <w:tr>
        <w:trPr>
          <w:tblHeader/>
        </w:trPr>
        <w:tc>
          <w:tcPr>
            <w:tcW w:type="dxa" w:w="1685"/>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1310"/>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93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Required</w:t>
            </w:r>
          </w:p>
        </w:tc>
        <w:tc>
          <w:tcPr>
            <w:tcW w:type="dxa" w:w="1123"/>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Default</w:t>
            </w:r>
          </w:p>
        </w:tc>
        <w:tc>
          <w:tcPr>
            <w:tcW w:type="dxa" w:w="430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source</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System of record the agent reads or writes, referenced by its registered name in the enterprise data catalog, e.g. core-banking-crm.</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classification</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enum</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One of public, internal, confidential, restricted. Drives mandatory guardrails via the policy rules in Section 7.2.</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allowedOperations</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array&lt;enum&gt;</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Any of read, write, delete. Must be a subset of what the source's own access-control policy permits for the agent's identity.</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retention</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duration</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How long data retrieved from this source may be retained by the agent's memory or logs, e.g. "90d".</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fields</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array&lt;string&gt;</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Specific fields or columns the agent may access, if narrower than the full source record.</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piiPresent</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boolean</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false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Marks whether this source contains personally identifiable information; when true, guardrails.piiHandling (Section 4.7) becomes required.</w:t>
            </w:r>
          </w:p>
        </w:tc>
      </w:tr>
    </w:tbl>
    <w:p>
      <w:pPr>
        <w:pStyle w:val="Heading2"/>
        <w:spacing w:after="160" w:before="340"/>
      </w:pPr>
      <w:r>
        <w:t xml:space="preserve">4.5 model</w:t>
      </w:r>
    </w:p>
    <w:p>
      <w:pPr>
        <w:spacing w:after="180" w:line="276"/>
      </w:pPr>
      <w:r>
        <w:rPr>
          <w:rFonts w:ascii="Calibri" w:cs="Calibri" w:eastAsia="Calibri" w:hAnsi="Calibri"/>
          <w:b w:val="false"/>
          <w:bCs w:val="false"/>
          <w:i w:val="false"/>
          <w:iCs w:val="false"/>
          <w:color w:val="202030"/>
          <w:sz w:val="22"/>
          <w:szCs w:val="22"/>
        </w:rPr>
        <w:t xml:space="preserve">Which model the agent reasons with, and how it plans its actions.</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1685"/>
        <w:gridCol w:w="1310"/>
        <w:gridCol w:w="936"/>
        <w:gridCol w:w="1123"/>
        <w:gridCol w:w="4306"/>
      </w:tblGrid>
      <w:tr>
        <w:trPr>
          <w:tblHeader/>
        </w:trPr>
        <w:tc>
          <w:tcPr>
            <w:tcW w:type="dxa" w:w="1685"/>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1310"/>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93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Required</w:t>
            </w:r>
          </w:p>
        </w:tc>
        <w:tc>
          <w:tcPr>
            <w:tcW w:type="dxa" w:w="1123"/>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Default</w:t>
            </w:r>
          </w:p>
        </w:tc>
        <w:tc>
          <w:tcPr>
            <w:tcW w:type="dxa" w:w="430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provider</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Model provider or internal model gateway identifier.</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model</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Model identifier and version.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parameters</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object</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 temperature, maxTokens, topP }. Passed through to the model call unmodified by the generator.</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promptTemplateRef</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Reference to the versioned prompt template used to construct the system/task prompt. Never inline prompt text in the spec.</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planningStrategy</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enum</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One of single-shot, react, plan-execute. Selects which planning-loop template the generator uses (Section 7.4).</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fallbackModel</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Model to fall back to if the primary is unavailable.</w:t>
            </w:r>
          </w:p>
        </w:tc>
      </w:tr>
    </w:tbl>
    <w:p>
      <w:pPr>
        <w:pStyle w:val="Heading2"/>
        <w:spacing w:after="160" w:before="340"/>
      </w:pPr>
      <w:r>
        <w:t xml:space="preserve">4.6 memory</w:t>
      </w:r>
    </w:p>
    <w:p>
      <w:pPr>
        <w:spacing w:after="180" w:line="276"/>
      </w:pPr>
      <w:r>
        <w:rPr>
          <w:rFonts w:ascii="Calibri" w:cs="Calibri" w:eastAsia="Calibri" w:hAnsi="Calibri"/>
          <w:b w:val="false"/>
          <w:bCs w:val="false"/>
          <w:i w:val="false"/>
          <w:iCs w:val="false"/>
          <w:color w:val="202030"/>
          <w:sz w:val="22"/>
          <w:szCs w:val="22"/>
        </w:rPr>
        <w:t xml:space="preserve">What the agent is allowed to remember between calls, and for how long.</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1685"/>
        <w:gridCol w:w="1310"/>
        <w:gridCol w:w="936"/>
        <w:gridCol w:w="1123"/>
        <w:gridCol w:w="4306"/>
      </w:tblGrid>
      <w:tr>
        <w:trPr>
          <w:tblHeader/>
        </w:trPr>
        <w:tc>
          <w:tcPr>
            <w:tcW w:type="dxa" w:w="1685"/>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1310"/>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93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Required</w:t>
            </w:r>
          </w:p>
        </w:tc>
        <w:tc>
          <w:tcPr>
            <w:tcW w:type="dxa" w:w="1123"/>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Default</w:t>
            </w:r>
          </w:p>
        </w:tc>
        <w:tc>
          <w:tcPr>
            <w:tcW w:type="dxa" w:w="430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type</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enum</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none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One of none, session, long-term.</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scope</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Cond.</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What the memory is keyed on, e.g. user, case, conversation. Required if type is not none.</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ttl</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duration</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Cond.</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Time-to-live before memory expires, e.g. "24h". Required if type is not none.</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persistenceRef</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Cond.</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Reference to the backing store. Required if type is long-term.</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maxSizeKb</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integer</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Ceiling on stored memory size per key.</w:t>
            </w:r>
          </w:p>
        </w:tc>
      </w:tr>
    </w:tbl>
    <w:p>
      <w:pPr>
        <w:pStyle w:val="Heading2"/>
        <w:spacing w:after="160" w:before="340"/>
      </w:pPr>
      <w:r>
        <w:t xml:space="preserve">4.7 guardrails</w:t>
      </w:r>
    </w:p>
    <w:p>
      <w:pPr>
        <w:spacing w:after="180" w:line="276"/>
      </w:pPr>
      <w:r>
        <w:rPr>
          <w:rFonts w:ascii="Calibri" w:cs="Calibri" w:eastAsia="Calibri" w:hAnsi="Calibri"/>
          <w:b w:val="false"/>
          <w:bCs w:val="false"/>
          <w:i w:val="false"/>
          <w:iCs w:val="false"/>
          <w:color w:val="202030"/>
          <w:sz w:val="22"/>
          <w:szCs w:val="22"/>
        </w:rPr>
        <w:t xml:space="preserve">The behavioral and content constraints enforced on the agent at runtime, independent of any single tool.</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1685"/>
        <w:gridCol w:w="1310"/>
        <w:gridCol w:w="936"/>
        <w:gridCol w:w="1123"/>
        <w:gridCol w:w="4306"/>
      </w:tblGrid>
      <w:tr>
        <w:trPr>
          <w:tblHeader/>
        </w:trPr>
        <w:tc>
          <w:tcPr>
            <w:tcW w:type="dxa" w:w="1685"/>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1310"/>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93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Required</w:t>
            </w:r>
          </w:p>
        </w:tc>
        <w:tc>
          <w:tcPr>
            <w:tcW w:type="dxa" w:w="1123"/>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Default</w:t>
            </w:r>
          </w:p>
        </w:tc>
        <w:tc>
          <w:tcPr>
            <w:tcW w:type="dxa" w:w="430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contentPolicies</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array&lt;string&gt;</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Named content/behavioral policies enforced at runtime, referencing the central policy library maintained outside this spec.</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businessRules</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array&lt;string&gt;</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Domain-specific constraints, e.g. a transaction-amount limit, referenced by name from the business rule library.</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refusalConditions</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array&lt;string&gt;</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Named conditions under which the agent must decline to proceed rather than attempt the task.</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maxAutonomySteps</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integer</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Ceiling on unattended actions before a human checkpoint (Section 4.9) is required.</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piiHandling</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enum</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Cond.</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mask</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One of mask, block, allow-with-logging. Required if any dataContracts entry has piiPresent: true.</w:t>
            </w:r>
          </w:p>
        </w:tc>
      </w:tr>
    </w:tbl>
    <w:p>
      <w:pPr>
        <w:pStyle w:val="Heading2"/>
        <w:spacing w:after="160" w:before="340"/>
      </w:pPr>
      <w:r>
        <w:t xml:space="preserve">4.8 auth</w:t>
      </w:r>
    </w:p>
    <w:p>
      <w:pPr>
        <w:spacing w:after="180" w:line="276"/>
      </w:pPr>
      <w:r>
        <w:rPr>
          <w:rFonts w:ascii="Calibri" w:cs="Calibri" w:eastAsia="Calibri" w:hAnsi="Calibri"/>
          <w:b w:val="false"/>
          <w:bCs w:val="false"/>
          <w:i w:val="false"/>
          <w:iCs w:val="false"/>
          <w:color w:val="202030"/>
          <w:sz w:val="22"/>
          <w:szCs w:val="22"/>
        </w:rPr>
        <w:t xml:space="preserve">The agent's own identity and the permissions it is allowed to exercise. The spec never contains a credential value — only a reference to one held in a secrets manager.</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1685"/>
        <w:gridCol w:w="1310"/>
        <w:gridCol w:w="936"/>
        <w:gridCol w:w="1123"/>
        <w:gridCol w:w="4306"/>
      </w:tblGrid>
      <w:tr>
        <w:trPr>
          <w:tblHeader/>
        </w:trPr>
        <w:tc>
          <w:tcPr>
            <w:tcW w:type="dxa" w:w="1685"/>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1310"/>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93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Required</w:t>
            </w:r>
          </w:p>
        </w:tc>
        <w:tc>
          <w:tcPr>
            <w:tcW w:type="dxa" w:w="1123"/>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Default</w:t>
            </w:r>
          </w:p>
        </w:tc>
        <w:tc>
          <w:tcPr>
            <w:tcW w:type="dxa" w:w="430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identityRef</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Service identity the agent runs as, e.g. a workload identity or service-account reference.</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credentialsRef</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Secret-manager reference. The Validator rejects any spec containing an inline secret value in this field.</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scopesPerTool</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map&lt;string, array&lt;string&gt;&gt;</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Explicit permission scopes granted per declared tool id, keyed by tools[].id.</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tokenLifetimeSeconds</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integer</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3600</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Lifetime of the credential/token issued to the agent's runtime identity.</w:t>
            </w:r>
          </w:p>
        </w:tc>
      </w:tr>
    </w:tbl>
    <w:p>
      <w:pPr>
        <w:pStyle w:val="Heading2"/>
        <w:spacing w:after="160" w:before="340"/>
      </w:pPr>
      <w:r>
        <w:t xml:space="preserve">4.9 humanInLoop</w:t>
      </w:r>
    </w:p>
    <w:p>
      <w:pPr>
        <w:spacing w:after="180" w:line="276"/>
      </w:pPr>
      <w:r>
        <w:rPr>
          <w:rFonts w:ascii="Calibri" w:cs="Calibri" w:eastAsia="Calibri" w:hAnsi="Calibri"/>
          <w:b w:val="false"/>
          <w:bCs w:val="false"/>
          <w:i w:val="false"/>
          <w:iCs w:val="false"/>
          <w:color w:val="202030"/>
          <w:sz w:val="22"/>
          <w:szCs w:val="22"/>
        </w:rPr>
        <w:t xml:space="preserve">Where a person must approve or can override the agent's behavior.</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1685"/>
        <w:gridCol w:w="1310"/>
        <w:gridCol w:w="936"/>
        <w:gridCol w:w="1123"/>
        <w:gridCol w:w="4306"/>
      </w:tblGrid>
      <w:tr>
        <w:trPr>
          <w:tblHeader/>
        </w:trPr>
        <w:tc>
          <w:tcPr>
            <w:tcW w:type="dxa" w:w="1685"/>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1310"/>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93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Required</w:t>
            </w:r>
          </w:p>
        </w:tc>
        <w:tc>
          <w:tcPr>
            <w:tcW w:type="dxa" w:w="1123"/>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Default</w:t>
            </w:r>
          </w:p>
        </w:tc>
        <w:tc>
          <w:tcPr>
            <w:tcW w:type="dxa" w:w="430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checkpoints</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array&lt;string&gt;</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Cond.</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Named actions requiring approval before execution. Required whenever any tool has sideEffects of write or irreversible, or any dataContract allows write/delete (policy rule, Section 7.2).</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escalationPath</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Team or role notified on escalation, e.g. team:kyc-ops.</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overrideAuthority</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Role authorized to override agent behavior, e.g. role:compliance-officer.</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approvalTimeoutBehavior</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enum</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block</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One of block, proceed-with-log, abort — what happens if a checkpoint approval is not received in time.</w:t>
            </w:r>
          </w:p>
        </w:tc>
      </w:tr>
    </w:tbl>
    <w:p>
      <w:pPr>
        <w:pStyle w:val="Heading2"/>
        <w:spacing w:after="160" w:before="340"/>
      </w:pPr>
      <w:r>
        <w:t xml:space="preserve">4.10 observability</w:t>
      </w:r>
    </w:p>
    <w:p>
      <w:pPr>
        <w:spacing w:after="180" w:line="276"/>
      </w:pPr>
      <w:r>
        <w:rPr>
          <w:rFonts w:ascii="Calibri" w:cs="Calibri" w:eastAsia="Calibri" w:hAnsi="Calibri"/>
          <w:b w:val="false"/>
          <w:bCs w:val="false"/>
          <w:i w:val="false"/>
          <w:iCs w:val="false"/>
          <w:color w:val="202030"/>
          <w:sz w:val="22"/>
          <w:szCs w:val="22"/>
        </w:rPr>
        <w:t xml:space="preserve">What the agent emits at runtime for monitoring, debugging, and audit.</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1685"/>
        <w:gridCol w:w="1310"/>
        <w:gridCol w:w="936"/>
        <w:gridCol w:w="1123"/>
        <w:gridCol w:w="4306"/>
      </w:tblGrid>
      <w:tr>
        <w:trPr>
          <w:tblHeader/>
        </w:trPr>
        <w:tc>
          <w:tcPr>
            <w:tcW w:type="dxa" w:w="1685"/>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1310"/>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93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Required</w:t>
            </w:r>
          </w:p>
        </w:tc>
        <w:tc>
          <w:tcPr>
            <w:tcW w:type="dxa" w:w="1123"/>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Default</w:t>
            </w:r>
          </w:p>
        </w:tc>
        <w:tc>
          <w:tcPr>
            <w:tcW w:type="dxa" w:w="430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logging</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object</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 level: debug|info|warn|error, destination: string, fields: array&lt;string&gt; }.</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tracing</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object</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 enabled: boolean, propagation: string } — distributed trace propagation settings.</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metrics</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array&lt;string&gt;</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Runtime metrics emitted, e.g. latency, tool_error_rate.</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evalSuiteRef</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Reference to the behavioral test suite required to pass before the agent may be promoted to production.</w:t>
            </w:r>
          </w:p>
        </w:tc>
      </w:tr>
    </w:tbl>
    <w:p>
      <w:pPr>
        <w:pStyle w:val="Heading2"/>
        <w:spacing w:after="160" w:before="340"/>
      </w:pPr>
      <w:r>
        <w:t xml:space="preserve">4.11 errorHandling</w:t>
      </w:r>
    </w:p>
    <w:p>
      <w:pPr>
        <w:spacing w:after="180" w:line="276"/>
      </w:pPr>
      <w:r>
        <w:rPr>
          <w:rFonts w:ascii="Calibri" w:cs="Calibri" w:eastAsia="Calibri" w:hAnsi="Calibri"/>
          <w:b w:val="false"/>
          <w:bCs w:val="false"/>
          <w:i w:val="false"/>
          <w:iCs w:val="false"/>
          <w:color w:val="202030"/>
          <w:sz w:val="22"/>
          <w:szCs w:val="22"/>
        </w:rPr>
        <w:t xml:space="preserve">Defined behavior when something goes wrong, so failure paths are specified rather than improvised in generated code.</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1685"/>
        <w:gridCol w:w="1310"/>
        <w:gridCol w:w="936"/>
        <w:gridCol w:w="1123"/>
        <w:gridCol w:w="4306"/>
      </w:tblGrid>
      <w:tr>
        <w:trPr>
          <w:tblHeader/>
        </w:trPr>
        <w:tc>
          <w:tcPr>
            <w:tcW w:type="dxa" w:w="1685"/>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1310"/>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93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Required</w:t>
            </w:r>
          </w:p>
        </w:tc>
        <w:tc>
          <w:tcPr>
            <w:tcW w:type="dxa" w:w="1123"/>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Default</w:t>
            </w:r>
          </w:p>
        </w:tc>
        <w:tc>
          <w:tcPr>
            <w:tcW w:type="dxa" w:w="430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onToolFailure</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enum</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One of retry, fallback, escalate, abort.</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onTimeout</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enum</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One of retry, fallback, escalate, abort. Applies when a tool exceeds its timeoutMs.</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onLowConfidence</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enum</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One of fallback, escalate, abstain.</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fallbackResponse</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Message returned to the caller when a fallback path is taken.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confidenceThreshold</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number (0–1)</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Score below which onLowConfidence applies.</w:t>
            </w:r>
          </w:p>
        </w:tc>
      </w:tr>
    </w:tbl>
    <w:p>
      <w:pPr>
        <w:pStyle w:val="Heading2"/>
        <w:spacing w:after="160" w:before="340"/>
      </w:pPr>
      <w:r>
        <w:t xml:space="preserve">4.12 deployment</w:t>
      </w:r>
    </w:p>
    <w:p>
      <w:pPr>
        <w:spacing w:after="180" w:line="276"/>
      </w:pPr>
      <w:r>
        <w:rPr>
          <w:rFonts w:ascii="Calibri" w:cs="Calibri" w:eastAsia="Calibri" w:hAnsi="Calibri"/>
          <w:b w:val="false"/>
          <w:bCs w:val="false"/>
          <w:i w:val="false"/>
          <w:iCs w:val="false"/>
          <w:color w:val="202030"/>
          <w:sz w:val="22"/>
          <w:szCs w:val="22"/>
        </w:rPr>
        <w:t xml:space="preserve">Where and how the agent is deployed, and how its change history is tracked.</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1685"/>
        <w:gridCol w:w="1310"/>
        <w:gridCol w:w="936"/>
        <w:gridCol w:w="1123"/>
        <w:gridCol w:w="4306"/>
      </w:tblGrid>
      <w:tr>
        <w:trPr>
          <w:tblHeader/>
        </w:trPr>
        <w:tc>
          <w:tcPr>
            <w:tcW w:type="dxa" w:w="1685"/>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Field</w:t>
            </w:r>
          </w:p>
        </w:tc>
        <w:tc>
          <w:tcPr>
            <w:tcW w:type="dxa" w:w="1310"/>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Type</w:t>
            </w:r>
          </w:p>
        </w:tc>
        <w:tc>
          <w:tcPr>
            <w:tcW w:type="dxa" w:w="93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Required</w:t>
            </w:r>
          </w:p>
        </w:tc>
        <w:tc>
          <w:tcPr>
            <w:tcW w:type="dxa" w:w="1123"/>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Default</w:t>
            </w:r>
          </w:p>
        </w:tc>
        <w:tc>
          <w:tcPr>
            <w:tcW w:type="dxa" w:w="4306"/>
            <w:shd w:fill="1E2761"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environments</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array&lt;enum&gt;</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Any of dev, staging, production.</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rolloutStrategy</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enum</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One of canary, blue-green, direct.</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compatibility</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Minimum schema specVersion this spec requires.</w:t>
            </w:r>
          </w:p>
        </w:tc>
      </w:tr>
      <w:tr>
        <w:tc>
          <w:tcPr>
            <w:tcW w:type="dxa" w:w="1685"/>
            <w:shd w:fill="EAF1FD"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changeHistoryRef</w:t>
            </w:r>
          </w:p>
        </w:tc>
        <w:tc>
          <w:tcPr>
            <w:tcW w:type="dxa" w:w="1310"/>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string</w:t>
            </w:r>
          </w:p>
        </w:tc>
        <w:tc>
          <w:tcPr>
            <w:tcW w:type="dxa" w:w="936"/>
            <w:shd w:fill="EAF1FD" w:val="clear"/>
            <w:tcMar>
              <w:top w:type="dxa" w:w="80"/>
              <w:left w:type="dxa" w:w="110"/>
              <w:bottom w:type="dxa" w:w="80"/>
              <w:right w:type="dxa" w:w="110"/>
            </w:tcMar>
            <w:vAlign w:val="center"/>
          </w:tcPr>
          <w:p>
            <w:pPr>
              <w:jc w:val="center"/>
            </w:pPr>
            <w:r>
              <w:rPr>
                <w:rFonts w:ascii="Calibri" w:cs="Calibri" w:eastAsia="Calibri" w:hAnsi="Calibri"/>
                <w:b/>
                <w:bCs/>
                <w:color w:val="1E2761"/>
                <w:sz w:val="18"/>
                <w:szCs w:val="18"/>
              </w:rPr>
              <w:t xml:space="preserve">Yes</w:t>
            </w:r>
          </w:p>
        </w:tc>
        <w:tc>
          <w:tcPr>
            <w:tcW w:type="dxa" w:w="1123"/>
            <w:shd w:fill="EAF1FD"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w:t>
            </w:r>
          </w:p>
        </w:tc>
        <w:tc>
          <w:tcPr>
            <w:tcW w:type="dxa" w:w="4306"/>
            <w:shd w:fill="EAF1FD" w:val="clear"/>
            <w:tcMar>
              <w:top w:type="dxa" w:w="80"/>
              <w:left w:type="dxa" w:w="110"/>
              <w:bottom w:type="dxa" w:w="80"/>
              <w:right w:type="dxa" w:w="110"/>
            </w:tcMar>
            <w:vAlign w:val="center"/>
          </w:tcPr>
          <w:p>
            <w:r>
              <w:rPr>
                <w:rFonts w:ascii="Calibri" w:cs="Calibri" w:eastAsia="Calibri" w:hAnsi="Calibri"/>
                <w:color w:val="3B4256"/>
                <w:sz w:val="18"/>
                <w:szCs w:val="18"/>
              </w:rPr>
              <w:t xml:space="preserve">Link to the version/change log for this agent, populated by the Output Packager (Section 7.5) on every generation.</w:t>
            </w:r>
          </w:p>
        </w:tc>
      </w:tr>
      <w:tr>
        <w:tc>
          <w:tcPr>
            <w:tcW w:type="dxa" w:w="1685"/>
            <w:shd w:fill="FFFFFF" w:val="clear"/>
            <w:tcMar>
              <w:top w:type="dxa" w:w="80"/>
              <w:left w:type="dxa" w:w="110"/>
              <w:bottom w:type="dxa" w:w="80"/>
              <w:right w:type="dxa" w:w="110"/>
            </w:tcMar>
            <w:vAlign w:val="center"/>
          </w:tcPr>
          <w:p>
            <w:r>
              <w:rPr>
                <w:rFonts w:ascii="Courier New" w:cs="Courier New" w:eastAsia="Courier New" w:hAnsi="Courier New"/>
                <w:b/>
                <w:bCs/>
                <w:color w:val="141B4D"/>
                <w:sz w:val="18"/>
                <w:szCs w:val="18"/>
              </w:rPr>
              <w:t xml:space="preserve">approvalRequired</w:t>
            </w:r>
          </w:p>
        </w:tc>
        <w:tc>
          <w:tcPr>
            <w:tcW w:type="dxa" w:w="1310"/>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boolean</w:t>
            </w:r>
          </w:p>
        </w:tc>
        <w:tc>
          <w:tcPr>
            <w:tcW w:type="dxa" w:w="936"/>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6E7488"/>
                <w:sz w:val="18"/>
                <w:szCs w:val="18"/>
              </w:rPr>
              <w:t xml:space="preserve">No</w:t>
            </w:r>
          </w:p>
        </w:tc>
        <w:tc>
          <w:tcPr>
            <w:tcW w:type="dxa" w:w="1123"/>
            <w:shd w:fill="FFFFFF" w:val="clear"/>
            <w:tcMar>
              <w:top w:type="dxa" w:w="80"/>
              <w:left w:type="dxa" w:w="110"/>
              <w:bottom w:type="dxa" w:w="80"/>
              <w:right w:type="dxa" w:w="110"/>
            </w:tcMar>
            <w:vAlign w:val="center"/>
          </w:tcPr>
          <w:p>
            <w:r>
              <w:rPr>
                <w:rFonts w:ascii="Courier New" w:cs="Courier New" w:eastAsia="Courier New" w:hAnsi="Courier New"/>
                <w:color w:val="6E7488"/>
                <w:sz w:val="17"/>
                <w:szCs w:val="17"/>
              </w:rPr>
              <w:t xml:space="preserve">true (prod)</w:t>
            </w:r>
          </w:p>
        </w:tc>
        <w:tc>
          <w:tcPr>
            <w:tcW w:type="dxa" w:w="4306"/>
            <w:shd w:fill="FFFFFF" w:val="clear"/>
            <w:tcMar>
              <w:top w:type="dxa" w:w="80"/>
              <w:left w:type="dxa" w:w="110"/>
              <w:bottom w:type="dxa" w:w="80"/>
              <w:right w:type="dxa" w:w="110"/>
            </w:tcMar>
            <w:vAlign w:val="center"/>
          </w:tcPr>
          <w:p>
            <w:r>
              <w:rPr>
                <w:rFonts w:ascii="Calibri" w:cs="Calibri" w:eastAsia="Calibri" w:hAnsi="Calibri"/>
                <w:color w:val="3B4256"/>
                <w:sz w:val="18"/>
                <w:szCs w:val="18"/>
              </w:rPr>
              <w:t xml:space="preserve">Whether a governance approval record is required before this spec can deploy to the listed environment.</w:t>
            </w:r>
          </w:p>
        </w:tc>
      </w:tr>
    </w:tbl>
    <w:p>
      <w:r>
        <w:br w:type="page"/>
      </w:r>
    </w:p>
    <w:p>
      <w:pPr>
        <w:pStyle w:val="Heading1"/>
        <w:spacing w:after="200" w:before="480"/>
      </w:pPr>
      <w:r>
        <w:t xml:space="preserve">5. Complete Example Specification</w:t>
      </w:r>
    </w:p>
    <w:p>
      <w:pPr>
        <w:spacing w:after="180" w:line="276"/>
      </w:pPr>
      <w:r>
        <w:rPr>
          <w:rFonts w:ascii="Calibri" w:cs="Calibri" w:eastAsia="Calibri" w:hAnsi="Calibri"/>
          <w:b w:val="false"/>
          <w:bCs w:val="false"/>
          <w:i w:val="false"/>
          <w:iCs w:val="false"/>
          <w:color w:val="202030"/>
          <w:sz w:val="22"/>
          <w:szCs w:val="22"/>
        </w:rPr>
        <w:t xml:space="preserve">The example below is illustrative — a fictional retail-banking KYC-refresh agent — but it is internally consistent with every rule in Section 4 and Section 7.2, including the conditional requirements (humanInLoop.checkpoints is present because a tool has write side effects; guardrails.piiHandling is present because a dataContract has piiPresent: true).</w:t>
      </w:r>
    </w:p>
    <w:tbl>
      <w:tblPr>
        <w:tblW w:type="dxa" w:w="9360"/>
        <w:tblBorders>
          <w:top w:val="none"/>
          <w:left w:val="none"/>
          <w:bottom w:val="none"/>
          <w:right w:val="none"/>
          <w:insideH w:val="single" w:color="auto" w:sz="4"/>
          <w:insideV w:val="single" w:color="auto" w:sz="4"/>
        </w:tblBorders>
      </w:tblPr>
      <w:tblGrid>
        <w:gridCol w:w="100"/>
      </w:tblGrid>
      <w:tr>
        <w:tc>
          <w:tcPr>
            <w:tcW w:type="dxa" w:w="9360"/>
            <w:shd w:fill="10163D" w:val="clear"/>
            <w:tcMar>
              <w:top w:type="dxa" w:w="200"/>
              <w:left w:type="dxa" w:w="260"/>
              <w:bottom w:type="dxa" w:w="200"/>
              <w:right w:type="dxa" w:w="260"/>
            </w:tcMar>
          </w:tcPr>
          <w:p>
            <w:pPr>
              <w:spacing w:after="20"/>
            </w:pPr>
            <w:r>
              <w:rPr>
                <w:rFonts w:ascii="Courier New" w:cs="Courier New" w:eastAsia="Courier New" w:hAnsi="Courier New"/>
                <w:color w:val="EAF1FD"/>
                <w:sz w:val="18"/>
                <w:szCs w:val="18"/>
              </w:rPr>
              <w:t xml:space="preserve">specVersion: "0.1"</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info:</w:t>
            </w:r>
          </w:p>
          <w:p>
            <w:pPr>
              <w:spacing w:after="20"/>
            </w:pPr>
            <w:r>
              <w:rPr>
                <w:rFonts w:ascii="Courier New" w:cs="Courier New" w:eastAsia="Courier New" w:hAnsi="Courier New"/>
                <w:color w:val="EAF1FD"/>
                <w:sz w:val="18"/>
                <w:szCs w:val="18"/>
              </w:rPr>
              <w:t xml:space="preserve">  name: kyc-refresh-agent</w:t>
            </w:r>
          </w:p>
          <w:p>
            <w:pPr>
              <w:spacing w:after="20"/>
            </w:pPr>
            <w:r>
              <w:rPr>
                <w:rFonts w:ascii="Courier New" w:cs="Courier New" w:eastAsia="Courier New" w:hAnsi="Courier New"/>
                <w:color w:val="EAF1FD"/>
                <w:sz w:val="18"/>
                <w:szCs w:val="18"/>
              </w:rPr>
              <w:t xml:space="preserve">  version: 1.2.0</w:t>
            </w:r>
          </w:p>
          <w:p>
            <w:pPr>
              <w:spacing w:after="20"/>
            </w:pPr>
            <w:r>
              <w:rPr>
                <w:rFonts w:ascii="Courier New" w:cs="Courier New" w:eastAsia="Courier New" w:hAnsi="Courier New"/>
                <w:color w:val="EAF1FD"/>
                <w:sz w:val="18"/>
                <w:szCs w:val="18"/>
              </w:rPr>
              <w:t xml:space="preserve">  owner: retail-banking-platform</w:t>
            </w:r>
          </w:p>
          <w:p>
            <w:pPr>
              <w:spacing w:after="20"/>
            </w:pPr>
            <w:r>
              <w:rPr>
                <w:rFonts w:ascii="Courier New" w:cs="Courier New" w:eastAsia="Courier New" w:hAnsi="Courier New"/>
                <w:color w:val="EAF1FD"/>
                <w:sz w:val="18"/>
                <w:szCs w:val="18"/>
              </w:rPr>
              <w:t xml:space="preserve">  description: Assists analysts in refreshing customer KYC records</w:t>
            </w:r>
          </w:p>
          <w:p>
            <w:pPr>
              <w:spacing w:after="20"/>
            </w:pPr>
            <w:r>
              <w:rPr>
                <w:rFonts w:ascii="Courier New" w:cs="Courier New" w:eastAsia="Courier New" w:hAnsi="Courier New"/>
                <w:color w:val="EAF1FD"/>
                <w:sz w:val="18"/>
                <w:szCs w:val="18"/>
              </w:rPr>
              <w:t xml:space="preserve">  lifecycle: pilot</w:t>
            </w:r>
          </w:p>
          <w:p>
            <w:pPr>
              <w:spacing w:after="20"/>
            </w:pPr>
            <w:r>
              <w:rPr>
                <w:rFonts w:ascii="Courier New" w:cs="Courier New" w:eastAsia="Courier New" w:hAnsi="Courier New"/>
                <w:color w:val="EAF1FD"/>
                <w:sz w:val="18"/>
                <w:szCs w:val="18"/>
              </w:rPr>
              <w:t xml:space="preserve">  tags: [kyc, retail-banking]</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capabilities:</w:t>
            </w:r>
          </w:p>
          <w:p>
            <w:pPr>
              <w:spacing w:after="20"/>
            </w:pPr>
            <w:r>
              <w:rPr>
                <w:rFonts w:ascii="Courier New" w:cs="Courier New" w:eastAsia="Courier New" w:hAnsi="Courier New"/>
                <w:color w:val="EAF1FD"/>
                <w:sz w:val="18"/>
                <w:szCs w:val="18"/>
              </w:rPr>
              <w:t xml:space="preserve">  - id: summarize-kyc-gaps</w:t>
            </w:r>
          </w:p>
          <w:p>
            <w:pPr>
              <w:spacing w:after="20"/>
            </w:pPr>
            <w:r>
              <w:rPr>
                <w:rFonts w:ascii="Courier New" w:cs="Courier New" w:eastAsia="Courier New" w:hAnsi="Courier New"/>
                <w:color w:val="EAF1FD"/>
                <w:sz w:val="18"/>
                <w:szCs w:val="18"/>
              </w:rPr>
              <w:t xml:space="preserve">    description: Identify missing or expired KYC fields for a customer</w:t>
            </w:r>
          </w:p>
          <w:p>
            <w:pPr>
              <w:spacing w:after="20"/>
            </w:pPr>
            <w:r>
              <w:rPr>
                <w:rFonts w:ascii="Courier New" w:cs="Courier New" w:eastAsia="Courier New" w:hAnsi="Courier New"/>
                <w:color w:val="EAF1FD"/>
                <w:sz w:val="18"/>
                <w:szCs w:val="18"/>
              </w:rPr>
              <w:t xml:space="preserve">    inputs:  { $ref: schemas/kyc-input.json }</w:t>
            </w:r>
          </w:p>
          <w:p>
            <w:pPr>
              <w:spacing w:after="20"/>
            </w:pPr>
            <w:r>
              <w:rPr>
                <w:rFonts w:ascii="Courier New" w:cs="Courier New" w:eastAsia="Courier New" w:hAnsi="Courier New"/>
                <w:color w:val="EAF1FD"/>
                <w:sz w:val="18"/>
                <w:szCs w:val="18"/>
              </w:rPr>
              <w:t xml:space="preserve">    outputs: { $ref: schemas/kyc-gap-report.json }</w:t>
            </w:r>
          </w:p>
          <w:p>
            <w:pPr>
              <w:spacing w:after="20"/>
            </w:pPr>
            <w:r>
              <w:rPr>
                <w:rFonts w:ascii="Courier New" w:cs="Courier New" w:eastAsia="Courier New" w:hAnsi="Courier New"/>
                <w:color w:val="EAF1FD"/>
                <w:sz w:val="18"/>
                <w:szCs w:val="18"/>
              </w:rPr>
              <w:t xml:space="preserve">  - id: draft-outreach-note</w:t>
            </w:r>
          </w:p>
          <w:p>
            <w:pPr>
              <w:spacing w:after="20"/>
            </w:pPr>
            <w:r>
              <w:rPr>
                <w:rFonts w:ascii="Courier New" w:cs="Courier New" w:eastAsia="Courier New" w:hAnsi="Courier New"/>
                <w:color w:val="EAF1FD"/>
                <w:sz w:val="18"/>
                <w:szCs w:val="18"/>
              </w:rPr>
              <w:t xml:space="preserve">    description: Draft a customer outreach note listing required documents</w:t>
            </w:r>
          </w:p>
          <w:p>
            <w:pPr>
              <w:spacing w:after="20"/>
            </w:pPr>
            <w:r>
              <w:rPr>
                <w:rFonts w:ascii="Courier New" w:cs="Courier New" w:eastAsia="Courier New" w:hAnsi="Courier New"/>
                <w:color w:val="EAF1FD"/>
                <w:sz w:val="18"/>
                <w:szCs w:val="18"/>
              </w:rPr>
              <w:t xml:space="preserve">    inputs:  { $ref: schemas/kyc-gap-report.json }</w:t>
            </w:r>
          </w:p>
          <w:p>
            <w:pPr>
              <w:spacing w:after="20"/>
            </w:pPr>
            <w:r>
              <w:rPr>
                <w:rFonts w:ascii="Courier New" w:cs="Courier New" w:eastAsia="Courier New" w:hAnsi="Courier New"/>
                <w:color w:val="EAF1FD"/>
                <w:sz w:val="18"/>
                <w:szCs w:val="18"/>
              </w:rPr>
              <w:t xml:space="preserve">    outputs: { $ref: schemas/outreach-note.json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tools:</w:t>
            </w:r>
          </w:p>
          <w:p>
            <w:pPr>
              <w:spacing w:after="20"/>
            </w:pPr>
            <w:r>
              <w:rPr>
                <w:rFonts w:ascii="Courier New" w:cs="Courier New" w:eastAsia="Courier New" w:hAnsi="Courier New"/>
                <w:color w:val="EAF1FD"/>
                <w:sz w:val="18"/>
                <w:szCs w:val="18"/>
              </w:rPr>
              <w:t xml:space="preserve">  - id: get-customer-profile</w:t>
            </w:r>
          </w:p>
          <w:p>
            <w:pPr>
              <w:spacing w:after="20"/>
            </w:pPr>
            <w:r>
              <w:rPr>
                <w:rFonts w:ascii="Courier New" w:cs="Courier New" w:eastAsia="Courier New" w:hAnsi="Courier New"/>
                <w:color w:val="EAF1FD"/>
                <w:sz w:val="18"/>
                <w:szCs w:val="18"/>
              </w:rPr>
              <w:t xml:space="preserve">    type: mcp</w:t>
            </w:r>
          </w:p>
          <w:p>
            <w:pPr>
              <w:spacing w:after="20"/>
            </w:pPr>
            <w:r>
              <w:rPr>
                <w:rFonts w:ascii="Courier New" w:cs="Courier New" w:eastAsia="Courier New" w:hAnsi="Courier New"/>
                <w:color w:val="EAF1FD"/>
                <w:sz w:val="18"/>
                <w:szCs w:val="18"/>
              </w:rPr>
              <w:t xml:space="preserve">    description: Retrieve a customer's current KYC record</w:t>
            </w:r>
          </w:p>
          <w:p>
            <w:pPr>
              <w:spacing w:after="20"/>
            </w:pPr>
            <w:r>
              <w:rPr>
                <w:rFonts w:ascii="Courier New" w:cs="Courier New" w:eastAsia="Courier New" w:hAnsi="Courier New"/>
                <w:color w:val="EAF1FD"/>
                <w:sz w:val="18"/>
                <w:szCs w:val="18"/>
              </w:rPr>
              <w:t xml:space="preserve">    schema: { $ref: schemas/customer-profile.json }</w:t>
            </w:r>
          </w:p>
          <w:p>
            <w:pPr>
              <w:spacing w:after="20"/>
            </w:pPr>
            <w:r>
              <w:rPr>
                <w:rFonts w:ascii="Courier New" w:cs="Courier New" w:eastAsia="Courier New" w:hAnsi="Courier New"/>
                <w:color w:val="EAF1FD"/>
                <w:sz w:val="18"/>
                <w:szCs w:val="18"/>
              </w:rPr>
              <w:t xml:space="preserve">    sideEffects: read</w:t>
            </w:r>
          </w:p>
          <w:p>
            <w:pPr>
              <w:spacing w:after="20"/>
            </w:pPr>
            <w:r>
              <w:rPr>
                <w:rFonts w:ascii="Courier New" w:cs="Courier New" w:eastAsia="Courier New" w:hAnsi="Courier New"/>
                <w:color w:val="EAF1FD"/>
                <w:sz w:val="18"/>
                <w:szCs w:val="18"/>
              </w:rPr>
              <w:t xml:space="preserve">    authRef: kyc-read</w:t>
            </w:r>
          </w:p>
          <w:p>
            <w:pPr>
              <w:spacing w:after="20"/>
            </w:pPr>
            <w:r>
              <w:rPr>
                <w:rFonts w:ascii="Courier New" w:cs="Courier New" w:eastAsia="Courier New" w:hAnsi="Courier New"/>
                <w:color w:val="EAF1FD"/>
                <w:sz w:val="18"/>
                <w:szCs w:val="18"/>
              </w:rPr>
              <w:t xml:space="preserve">  - id: update-kyc-record</w:t>
            </w:r>
          </w:p>
          <w:p>
            <w:pPr>
              <w:spacing w:after="20"/>
            </w:pPr>
            <w:r>
              <w:rPr>
                <w:rFonts w:ascii="Courier New" w:cs="Courier New" w:eastAsia="Courier New" w:hAnsi="Courier New"/>
                <w:color w:val="EAF1FD"/>
                <w:sz w:val="18"/>
                <w:szCs w:val="18"/>
              </w:rPr>
              <w:t xml:space="preserve">    type: mcp</w:t>
            </w:r>
          </w:p>
          <w:p>
            <w:pPr>
              <w:spacing w:after="20"/>
            </w:pPr>
            <w:r>
              <w:rPr>
                <w:rFonts w:ascii="Courier New" w:cs="Courier New" w:eastAsia="Courier New" w:hAnsi="Courier New"/>
                <w:color w:val="EAF1FD"/>
                <w:sz w:val="18"/>
                <w:szCs w:val="18"/>
              </w:rPr>
              <w:t xml:space="preserve">    description: Write a proposed KYC field update for analyst approval</w:t>
            </w:r>
          </w:p>
          <w:p>
            <w:pPr>
              <w:spacing w:after="20"/>
            </w:pPr>
            <w:r>
              <w:rPr>
                <w:rFonts w:ascii="Courier New" w:cs="Courier New" w:eastAsia="Courier New" w:hAnsi="Courier New"/>
                <w:color w:val="EAF1FD"/>
                <w:sz w:val="18"/>
                <w:szCs w:val="18"/>
              </w:rPr>
              <w:t xml:space="preserve">    schema: { $ref: schemas/kyc-update.json }</w:t>
            </w:r>
          </w:p>
          <w:p>
            <w:pPr>
              <w:spacing w:after="20"/>
            </w:pPr>
            <w:r>
              <w:rPr>
                <w:rFonts w:ascii="Courier New" w:cs="Courier New" w:eastAsia="Courier New" w:hAnsi="Courier New"/>
                <w:color w:val="EAF1FD"/>
                <w:sz w:val="18"/>
                <w:szCs w:val="18"/>
              </w:rPr>
              <w:t xml:space="preserve">    sideEffects: write</w:t>
            </w:r>
          </w:p>
          <w:p>
            <w:pPr>
              <w:spacing w:after="20"/>
            </w:pPr>
            <w:r>
              <w:rPr>
                <w:rFonts w:ascii="Courier New" w:cs="Courier New" w:eastAsia="Courier New" w:hAnsi="Courier New"/>
                <w:color w:val="EAF1FD"/>
                <w:sz w:val="18"/>
                <w:szCs w:val="18"/>
              </w:rPr>
              <w:t xml:space="preserve">    authRef: kyc-write</w:t>
            </w:r>
          </w:p>
          <w:p>
            <w:pPr>
              <w:spacing w:after="20"/>
            </w:pPr>
            <w:r>
              <w:rPr>
                <w:rFonts w:ascii="Courier New" w:cs="Courier New" w:eastAsia="Courier New" w:hAnsi="Courier New"/>
                <w:color w:val="EAF1FD"/>
                <w:sz w:val="18"/>
                <w:szCs w:val="18"/>
              </w:rPr>
              <w:t xml:space="preserve">    timeoutMs: 15000</w:t>
            </w:r>
          </w:p>
          <w:p>
            <w:pPr>
              <w:spacing w:after="20"/>
            </w:pPr>
            <w:r>
              <w:rPr>
                <w:rFonts w:ascii="Courier New" w:cs="Courier New" w:eastAsia="Courier New" w:hAnsi="Courier New"/>
                <w:color w:val="EAF1FD"/>
                <w:sz w:val="18"/>
                <w:szCs w:val="18"/>
              </w:rPr>
              <w:t xml:space="preserve">    retryPolicy: { maxRetries: 2, backoff: exponential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dataContracts:</w:t>
            </w:r>
          </w:p>
          <w:p>
            <w:pPr>
              <w:spacing w:after="20"/>
            </w:pPr>
            <w:r>
              <w:rPr>
                <w:rFonts w:ascii="Courier New" w:cs="Courier New" w:eastAsia="Courier New" w:hAnsi="Courier New"/>
                <w:color w:val="EAF1FD"/>
                <w:sz w:val="18"/>
                <w:szCs w:val="18"/>
              </w:rPr>
              <w:t xml:space="preserve">  - source: core-banking-crm</w:t>
            </w:r>
          </w:p>
          <w:p>
            <w:pPr>
              <w:spacing w:after="20"/>
            </w:pPr>
            <w:r>
              <w:rPr>
                <w:rFonts w:ascii="Courier New" w:cs="Courier New" w:eastAsia="Courier New" w:hAnsi="Courier New"/>
                <w:color w:val="EAF1FD"/>
                <w:sz w:val="18"/>
                <w:szCs w:val="18"/>
              </w:rPr>
              <w:t xml:space="preserve">    classification: confidential</w:t>
            </w:r>
          </w:p>
          <w:p>
            <w:pPr>
              <w:spacing w:after="20"/>
            </w:pPr>
            <w:r>
              <w:rPr>
                <w:rFonts w:ascii="Courier New" w:cs="Courier New" w:eastAsia="Courier New" w:hAnsi="Courier New"/>
                <w:color w:val="EAF1FD"/>
                <w:sz w:val="18"/>
                <w:szCs w:val="18"/>
              </w:rPr>
              <w:t xml:space="preserve">    allowedOperations: [read]</w:t>
            </w:r>
          </w:p>
          <w:p>
            <w:pPr>
              <w:spacing w:after="20"/>
            </w:pPr>
            <w:r>
              <w:rPr>
                <w:rFonts w:ascii="Courier New" w:cs="Courier New" w:eastAsia="Courier New" w:hAnsi="Courier New"/>
                <w:color w:val="EAF1FD"/>
                <w:sz w:val="18"/>
                <w:szCs w:val="18"/>
              </w:rPr>
              <w:t xml:space="preserve">    retention: 90d</w:t>
            </w:r>
          </w:p>
          <w:p>
            <w:pPr>
              <w:spacing w:after="20"/>
            </w:pPr>
            <w:r>
              <w:rPr>
                <w:rFonts w:ascii="Courier New" w:cs="Courier New" w:eastAsia="Courier New" w:hAnsi="Courier New"/>
                <w:color w:val="EAF1FD"/>
                <w:sz w:val="18"/>
                <w:szCs w:val="18"/>
              </w:rPr>
              <w:t xml:space="preserve">    piiPresent: true</w:t>
            </w:r>
          </w:p>
          <w:p>
            <w:pPr>
              <w:spacing w:after="20"/>
            </w:pPr>
            <w:r>
              <w:rPr>
                <w:rFonts w:ascii="Courier New" w:cs="Courier New" w:eastAsia="Courier New" w:hAnsi="Courier New"/>
                <w:color w:val="EAF1FD"/>
                <w:sz w:val="18"/>
                <w:szCs w:val="18"/>
              </w:rPr>
              <w:t xml:space="preserve">  - source: kyc-document-store</w:t>
            </w:r>
          </w:p>
          <w:p>
            <w:pPr>
              <w:spacing w:after="20"/>
            </w:pPr>
            <w:r>
              <w:rPr>
                <w:rFonts w:ascii="Courier New" w:cs="Courier New" w:eastAsia="Courier New" w:hAnsi="Courier New"/>
                <w:color w:val="EAF1FD"/>
                <w:sz w:val="18"/>
                <w:szCs w:val="18"/>
              </w:rPr>
              <w:t xml:space="preserve">    classification: restricted</w:t>
            </w:r>
          </w:p>
          <w:p>
            <w:pPr>
              <w:spacing w:after="20"/>
            </w:pPr>
            <w:r>
              <w:rPr>
                <w:rFonts w:ascii="Courier New" w:cs="Courier New" w:eastAsia="Courier New" w:hAnsi="Courier New"/>
                <w:color w:val="EAF1FD"/>
                <w:sz w:val="18"/>
                <w:szCs w:val="18"/>
              </w:rPr>
              <w:t xml:space="preserve">    allowedOperations: [read, write]</w:t>
            </w:r>
          </w:p>
          <w:p>
            <w:pPr>
              <w:spacing w:after="20"/>
            </w:pPr>
            <w:r>
              <w:rPr>
                <w:rFonts w:ascii="Courier New" w:cs="Courier New" w:eastAsia="Courier New" w:hAnsi="Courier New"/>
                <w:color w:val="EAF1FD"/>
                <w:sz w:val="18"/>
                <w:szCs w:val="18"/>
              </w:rPr>
              <w:t xml:space="preserve">    retention: 365d</w:t>
            </w:r>
          </w:p>
          <w:p>
            <w:pPr>
              <w:spacing w:after="20"/>
            </w:pPr>
            <w:r>
              <w:rPr>
                <w:rFonts w:ascii="Courier New" w:cs="Courier New" w:eastAsia="Courier New" w:hAnsi="Courier New"/>
                <w:color w:val="EAF1FD"/>
                <w:sz w:val="18"/>
                <w:szCs w:val="18"/>
              </w:rPr>
              <w:t xml:space="preserve">    piiPresent: true</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model:</w:t>
            </w:r>
          </w:p>
          <w:p>
            <w:pPr>
              <w:spacing w:after="20"/>
            </w:pPr>
            <w:r>
              <w:rPr>
                <w:rFonts w:ascii="Courier New" w:cs="Courier New" w:eastAsia="Courier New" w:hAnsi="Courier New"/>
                <w:color w:val="EAF1FD"/>
                <w:sz w:val="18"/>
                <w:szCs w:val="18"/>
              </w:rPr>
              <w:t xml:space="preserve">  provider: internal-model-gateway</w:t>
            </w:r>
          </w:p>
          <w:p>
            <w:pPr>
              <w:spacing w:after="20"/>
            </w:pPr>
            <w:r>
              <w:rPr>
                <w:rFonts w:ascii="Courier New" w:cs="Courier New" w:eastAsia="Courier New" w:hAnsi="Courier New"/>
                <w:color w:val="EAF1FD"/>
                <w:sz w:val="18"/>
                <w:szCs w:val="18"/>
              </w:rPr>
              <w:t xml:space="preserve">  model: enterprise-llm-v2</w:t>
            </w:r>
          </w:p>
          <w:p>
            <w:pPr>
              <w:spacing w:after="20"/>
            </w:pPr>
            <w:r>
              <w:rPr>
                <w:rFonts w:ascii="Courier New" w:cs="Courier New" w:eastAsia="Courier New" w:hAnsi="Courier New"/>
                <w:color w:val="EAF1FD"/>
                <w:sz w:val="18"/>
                <w:szCs w:val="18"/>
              </w:rPr>
              <w:t xml:space="preserve">  parameters: { temperature: 0.2, maxTokens: 1500 }</w:t>
            </w:r>
          </w:p>
          <w:p>
            <w:pPr>
              <w:spacing w:after="20"/>
            </w:pPr>
            <w:r>
              <w:rPr>
                <w:rFonts w:ascii="Courier New" w:cs="Courier New" w:eastAsia="Courier New" w:hAnsi="Courier New"/>
                <w:color w:val="EAF1FD"/>
                <w:sz w:val="18"/>
                <w:szCs w:val="18"/>
              </w:rPr>
              <w:t xml:space="preserve">  promptTemplateRef: prompts/kyc-refresh.md</w:t>
            </w:r>
          </w:p>
          <w:p>
            <w:pPr>
              <w:spacing w:after="20"/>
            </w:pPr>
            <w:r>
              <w:rPr>
                <w:rFonts w:ascii="Courier New" w:cs="Courier New" w:eastAsia="Courier New" w:hAnsi="Courier New"/>
                <w:color w:val="EAF1FD"/>
                <w:sz w:val="18"/>
                <w:szCs w:val="18"/>
              </w:rPr>
              <w:t xml:space="preserve">  planningStrategy: plan-execute</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memory:</w:t>
            </w:r>
          </w:p>
          <w:p>
            <w:pPr>
              <w:spacing w:after="20"/>
            </w:pPr>
            <w:r>
              <w:rPr>
                <w:rFonts w:ascii="Courier New" w:cs="Courier New" w:eastAsia="Courier New" w:hAnsi="Courier New"/>
                <w:color w:val="EAF1FD"/>
                <w:sz w:val="18"/>
                <w:szCs w:val="18"/>
              </w:rPr>
              <w:t xml:space="preserve">  type: session</w:t>
            </w:r>
          </w:p>
          <w:p>
            <w:pPr>
              <w:spacing w:after="20"/>
            </w:pPr>
            <w:r>
              <w:rPr>
                <w:rFonts w:ascii="Courier New" w:cs="Courier New" w:eastAsia="Courier New" w:hAnsi="Courier New"/>
                <w:color w:val="EAF1FD"/>
                <w:sz w:val="18"/>
                <w:szCs w:val="18"/>
              </w:rPr>
              <w:t xml:space="preserve">  scope: case-id</w:t>
            </w:r>
          </w:p>
          <w:p>
            <w:pPr>
              <w:spacing w:after="20"/>
            </w:pPr>
            <w:r>
              <w:rPr>
                <w:rFonts w:ascii="Courier New" w:cs="Courier New" w:eastAsia="Courier New" w:hAnsi="Courier New"/>
                <w:color w:val="EAF1FD"/>
                <w:sz w:val="18"/>
                <w:szCs w:val="18"/>
              </w:rPr>
              <w:t xml:space="preserve">  ttl: 24h</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guardrails:</w:t>
            </w:r>
          </w:p>
          <w:p>
            <w:pPr>
              <w:spacing w:after="20"/>
            </w:pPr>
            <w:r>
              <w:rPr>
                <w:rFonts w:ascii="Courier New" w:cs="Courier New" w:eastAsia="Courier New" w:hAnsi="Courier New"/>
                <w:color w:val="EAF1FD"/>
                <w:sz w:val="18"/>
                <w:szCs w:val="18"/>
              </w:rPr>
              <w:t xml:space="preserve">  contentPolicies: [no-financial-advice, no-legal-advice]</w:t>
            </w:r>
          </w:p>
          <w:p>
            <w:pPr>
              <w:spacing w:after="20"/>
            </w:pPr>
            <w:r>
              <w:rPr>
                <w:rFonts w:ascii="Courier New" w:cs="Courier New" w:eastAsia="Courier New" w:hAnsi="Courier New"/>
                <w:color w:val="EAF1FD"/>
                <w:sz w:val="18"/>
                <w:szCs w:val="18"/>
              </w:rPr>
              <w:t xml:space="preserve">  refusalConditions: [request_outside_kyc_scope]</w:t>
            </w:r>
          </w:p>
          <w:p>
            <w:pPr>
              <w:spacing w:after="20"/>
            </w:pPr>
            <w:r>
              <w:rPr>
                <w:rFonts w:ascii="Courier New" w:cs="Courier New" w:eastAsia="Courier New" w:hAnsi="Courier New"/>
                <w:color w:val="EAF1FD"/>
                <w:sz w:val="18"/>
                <w:szCs w:val="18"/>
              </w:rPr>
              <w:t xml:space="preserve">  maxAutonomySteps: 6</w:t>
            </w:r>
          </w:p>
          <w:p>
            <w:pPr>
              <w:spacing w:after="20"/>
            </w:pPr>
            <w:r>
              <w:rPr>
                <w:rFonts w:ascii="Courier New" w:cs="Courier New" w:eastAsia="Courier New" w:hAnsi="Courier New"/>
                <w:color w:val="EAF1FD"/>
                <w:sz w:val="18"/>
                <w:szCs w:val="18"/>
              </w:rPr>
              <w:t xml:space="preserve">  piiHandling: mask</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auth:</w:t>
            </w:r>
          </w:p>
          <w:p>
            <w:pPr>
              <w:spacing w:after="20"/>
            </w:pPr>
            <w:r>
              <w:rPr>
                <w:rFonts w:ascii="Courier New" w:cs="Courier New" w:eastAsia="Courier New" w:hAnsi="Courier New"/>
                <w:color w:val="EAF1FD"/>
                <w:sz w:val="18"/>
                <w:szCs w:val="18"/>
              </w:rPr>
              <w:t xml:space="preserve">  identityRef: svc-kyc-refresh-agent</w:t>
            </w:r>
          </w:p>
          <w:p>
            <w:pPr>
              <w:spacing w:after="20"/>
            </w:pPr>
            <w:r>
              <w:rPr>
                <w:rFonts w:ascii="Courier New" w:cs="Courier New" w:eastAsia="Courier New" w:hAnsi="Courier New"/>
                <w:color w:val="EAF1FD"/>
                <w:sz w:val="18"/>
                <w:szCs w:val="18"/>
              </w:rPr>
              <w:t xml:space="preserve">  credentialsRef: secretsmanager://kyc-refresh-agent/creds</w:t>
            </w:r>
          </w:p>
          <w:p>
            <w:pPr>
              <w:spacing w:after="20"/>
            </w:pPr>
            <w:r>
              <w:rPr>
                <w:rFonts w:ascii="Courier New" w:cs="Courier New" w:eastAsia="Courier New" w:hAnsi="Courier New"/>
                <w:color w:val="EAF1FD"/>
                <w:sz w:val="18"/>
                <w:szCs w:val="18"/>
              </w:rPr>
              <w:t xml:space="preserve">  scopesPerTool:</w:t>
            </w:r>
          </w:p>
          <w:p>
            <w:pPr>
              <w:spacing w:after="20"/>
            </w:pPr>
            <w:r>
              <w:rPr>
                <w:rFonts w:ascii="Courier New" w:cs="Courier New" w:eastAsia="Courier New" w:hAnsi="Courier New"/>
                <w:color w:val="EAF1FD"/>
                <w:sz w:val="18"/>
                <w:szCs w:val="18"/>
              </w:rPr>
              <w:t xml:space="preserve">    get-customer-profile: [kyc:read]</w:t>
            </w:r>
          </w:p>
          <w:p>
            <w:pPr>
              <w:spacing w:after="20"/>
            </w:pPr>
            <w:r>
              <w:rPr>
                <w:rFonts w:ascii="Courier New" w:cs="Courier New" w:eastAsia="Courier New" w:hAnsi="Courier New"/>
                <w:color w:val="EAF1FD"/>
                <w:sz w:val="18"/>
                <w:szCs w:val="18"/>
              </w:rPr>
              <w:t xml:space="preserve">    update-kyc-record: [kyc:write]</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humanInLoop:</w:t>
            </w:r>
          </w:p>
          <w:p>
            <w:pPr>
              <w:spacing w:after="20"/>
            </w:pPr>
            <w:r>
              <w:rPr>
                <w:rFonts w:ascii="Courier New" w:cs="Courier New" w:eastAsia="Courier New" w:hAnsi="Courier New"/>
                <w:color w:val="EAF1FD"/>
                <w:sz w:val="18"/>
                <w:szCs w:val="18"/>
              </w:rPr>
              <w:t xml:space="preserve">  checkpoints: [before_record_update]</w:t>
            </w:r>
          </w:p>
          <w:p>
            <w:pPr>
              <w:spacing w:after="20"/>
            </w:pPr>
            <w:r>
              <w:rPr>
                <w:rFonts w:ascii="Courier New" w:cs="Courier New" w:eastAsia="Courier New" w:hAnsi="Courier New"/>
                <w:color w:val="EAF1FD"/>
                <w:sz w:val="18"/>
                <w:szCs w:val="18"/>
              </w:rPr>
              <w:t xml:space="preserve">  escalationPath: team:kyc-ops</w:t>
            </w:r>
          </w:p>
          <w:p>
            <w:pPr>
              <w:spacing w:after="20"/>
            </w:pPr>
            <w:r>
              <w:rPr>
                <w:rFonts w:ascii="Courier New" w:cs="Courier New" w:eastAsia="Courier New" w:hAnsi="Courier New"/>
                <w:color w:val="EAF1FD"/>
                <w:sz w:val="18"/>
                <w:szCs w:val="18"/>
              </w:rPr>
              <w:t xml:space="preserve">  overrideAuthority: role:compliance-officer</w:t>
            </w:r>
          </w:p>
          <w:p>
            <w:pPr>
              <w:spacing w:after="20"/>
            </w:pPr>
            <w:r>
              <w:rPr>
                <w:rFonts w:ascii="Courier New" w:cs="Courier New" w:eastAsia="Courier New" w:hAnsi="Courier New"/>
                <w:color w:val="EAF1FD"/>
                <w:sz w:val="18"/>
                <w:szCs w:val="18"/>
              </w:rPr>
              <w:t xml:space="preserve">  approvalTimeoutBehavior: block</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observability:</w:t>
            </w:r>
          </w:p>
          <w:p>
            <w:pPr>
              <w:spacing w:after="20"/>
            </w:pPr>
            <w:r>
              <w:rPr>
                <w:rFonts w:ascii="Courier New" w:cs="Courier New" w:eastAsia="Courier New" w:hAnsi="Courier New"/>
                <w:color w:val="EAF1FD"/>
                <w:sz w:val="18"/>
                <w:szCs w:val="18"/>
              </w:rPr>
              <w:t xml:space="preserve">  logging: { level: info, destination: central-log-pipeline, fields: [case_id, tool_id] }</w:t>
            </w:r>
          </w:p>
          <w:p>
            <w:pPr>
              <w:spacing w:after="20"/>
            </w:pPr>
            <w:r>
              <w:rPr>
                <w:rFonts w:ascii="Courier New" w:cs="Courier New" w:eastAsia="Courier New" w:hAnsi="Courier New"/>
                <w:color w:val="EAF1FD"/>
                <w:sz w:val="18"/>
                <w:szCs w:val="18"/>
              </w:rPr>
              <w:t xml:space="preserve">  tracing: { enabled: true, propagation: w3c-tracecontext }</w:t>
            </w:r>
          </w:p>
          <w:p>
            <w:pPr>
              <w:spacing w:after="20"/>
            </w:pPr>
            <w:r>
              <w:rPr>
                <w:rFonts w:ascii="Courier New" w:cs="Courier New" w:eastAsia="Courier New" w:hAnsi="Courier New"/>
                <w:color w:val="EAF1FD"/>
                <w:sz w:val="18"/>
                <w:szCs w:val="18"/>
              </w:rPr>
              <w:t xml:space="preserve">  metrics: [latency_ms, tool_error_rate, checkpoint_wait_time]</w:t>
            </w:r>
          </w:p>
          <w:p>
            <w:pPr>
              <w:spacing w:after="20"/>
            </w:pPr>
            <w:r>
              <w:rPr>
                <w:rFonts w:ascii="Courier New" w:cs="Courier New" w:eastAsia="Courier New" w:hAnsi="Courier New"/>
                <w:color w:val="EAF1FD"/>
                <w:sz w:val="18"/>
                <w:szCs w:val="18"/>
              </w:rPr>
              <w:t xml:space="preserve">  evalSuiteRef: evals/kyc-refresh-agent.yaml</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errorHandling:</w:t>
            </w:r>
          </w:p>
          <w:p>
            <w:pPr>
              <w:spacing w:after="20"/>
            </w:pPr>
            <w:r>
              <w:rPr>
                <w:rFonts w:ascii="Courier New" w:cs="Courier New" w:eastAsia="Courier New" w:hAnsi="Courier New"/>
                <w:color w:val="EAF1FD"/>
                <w:sz w:val="18"/>
                <w:szCs w:val="18"/>
              </w:rPr>
              <w:t xml:space="preserve">  onToolFailure: escalate</w:t>
            </w:r>
          </w:p>
          <w:p>
            <w:pPr>
              <w:spacing w:after="20"/>
            </w:pPr>
            <w:r>
              <w:rPr>
                <w:rFonts w:ascii="Courier New" w:cs="Courier New" w:eastAsia="Courier New" w:hAnsi="Courier New"/>
                <w:color w:val="EAF1FD"/>
                <w:sz w:val="18"/>
                <w:szCs w:val="18"/>
              </w:rPr>
              <w:t xml:space="preserve">  onTimeout: retry</w:t>
            </w:r>
          </w:p>
          <w:p>
            <w:pPr>
              <w:spacing w:after="20"/>
            </w:pPr>
            <w:r>
              <w:rPr>
                <w:rFonts w:ascii="Courier New" w:cs="Courier New" w:eastAsia="Courier New" w:hAnsi="Courier New"/>
                <w:color w:val="EAF1FD"/>
                <w:sz w:val="18"/>
                <w:szCs w:val="18"/>
              </w:rPr>
              <w:t xml:space="preserve">  onLowConfidence: abstain</w:t>
            </w:r>
          </w:p>
          <w:p>
            <w:pPr>
              <w:spacing w:after="20"/>
            </w:pPr>
            <w:r>
              <w:rPr>
                <w:rFonts w:ascii="Courier New" w:cs="Courier New" w:eastAsia="Courier New" w:hAnsi="Courier New"/>
                <w:color w:val="EAF1FD"/>
                <w:sz w:val="18"/>
                <w:szCs w:val="18"/>
              </w:rPr>
              <w:t xml:space="preserve">  confidenceThreshold: 0.6</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deployment:</w:t>
            </w:r>
          </w:p>
          <w:p>
            <w:pPr>
              <w:spacing w:after="20"/>
            </w:pPr>
            <w:r>
              <w:rPr>
                <w:rFonts w:ascii="Courier New" w:cs="Courier New" w:eastAsia="Courier New" w:hAnsi="Courier New"/>
                <w:color w:val="EAF1FD"/>
                <w:sz w:val="18"/>
                <w:szCs w:val="18"/>
              </w:rPr>
              <w:t xml:space="preserve">  environments: [dev, staging, production]</w:t>
            </w:r>
          </w:p>
          <w:p>
            <w:pPr>
              <w:spacing w:after="20"/>
            </w:pPr>
            <w:r>
              <w:rPr>
                <w:rFonts w:ascii="Courier New" w:cs="Courier New" w:eastAsia="Courier New" w:hAnsi="Courier New"/>
                <w:color w:val="EAF1FD"/>
                <w:sz w:val="18"/>
                <w:szCs w:val="18"/>
              </w:rPr>
              <w:t xml:space="preserve">  rolloutStrategy: canary</w:t>
            </w:r>
          </w:p>
          <w:p>
            <w:pPr>
              <w:spacing w:after="20"/>
            </w:pPr>
            <w:r>
              <w:rPr>
                <w:rFonts w:ascii="Courier New" w:cs="Courier New" w:eastAsia="Courier New" w:hAnsi="Courier New"/>
                <w:color w:val="EAF1FD"/>
                <w:sz w:val="18"/>
                <w:szCs w:val="18"/>
              </w:rPr>
              <w:t xml:space="preserve">  changeHistoryRef: registry/kyc-refresh-agent/CHANGELOG.md</w:t>
            </w:r>
          </w:p>
          <w:p>
            <w:pPr>
              <w:spacing w:after="20"/>
            </w:pPr>
            <w:r>
              <w:rPr>
                <w:rFonts w:ascii="Courier New" w:cs="Courier New" w:eastAsia="Courier New" w:hAnsi="Courier New"/>
                <w:color w:val="EAF1FD"/>
                <w:sz w:val="18"/>
                <w:szCs w:val="18"/>
              </w:rPr>
              <w:t xml:space="preserve">  approvalRequired: true</w:t>
            </w:r>
          </w:p>
        </w:tc>
      </w:tr>
    </w:tbl>
    <w:p>
      <w:pPr>
        <w:spacing w:after="160"/>
      </w:pPr>
    </w:p>
    <w:p>
      <w:pPr>
        <w:spacing w:after="180" w:line="276"/>
      </w:pPr>
      <w:r>
        <w:rPr>
          <w:rFonts w:ascii="Calibri" w:cs="Calibri" w:eastAsia="Calibri" w:hAnsi="Calibri"/>
          <w:b w:val="false"/>
          <w:bCs w:val="false"/>
          <w:i/>
          <w:iCs/>
          <w:color w:val="202030"/>
          <w:sz w:val="22"/>
          <w:szCs w:val="22"/>
        </w:rPr>
        <w:t xml:space="preserve">The formal JSON Schema that the Validator stage (Section 7.2) runs against — covering every field in Section 4 — is provided in full in Appendix A at the end of this document.</w:t>
      </w:r>
    </w:p>
    <w:p>
      <w:r>
        <w:br w:type="page"/>
      </w:r>
    </w:p>
    <w:p>
      <w:pPr>
        <w:pStyle w:val="Heading1"/>
        <w:spacing w:after="200" w:before="480"/>
      </w:pPr>
      <w:r>
        <w:t xml:space="preserve">Part II — Code Generation Architecture</w:t>
      </w:r>
    </w:p>
    <w:p>
      <w:pPr>
        <w:pStyle w:val="Heading1"/>
        <w:spacing w:after="200" w:before="480"/>
      </w:pPr>
      <w:r>
        <w:t xml:space="preserve">6. How Codegen Works, End to End</w:t>
      </w:r>
    </w:p>
    <w:p>
      <w:pPr>
        <w:spacing w:after="180" w:line="276"/>
      </w:pPr>
      <w:r>
        <w:rPr>
          <w:rFonts w:ascii="Calibri" w:cs="Calibri" w:eastAsia="Calibri" w:hAnsi="Calibri"/>
          <w:b w:val="false"/>
          <w:bCs w:val="false"/>
          <w:i w:val="false"/>
          <w:iCs w:val="false"/>
          <w:color w:val="202030"/>
          <w:sz w:val="22"/>
          <w:szCs w:val="22"/>
        </w:rPr>
        <w:t xml:space="preserve">The generator turns one validated spec into a complete, runnable agent project. It runs as five sequential stages, each with a single responsibility and a clearly defined input and output. This separation matters for two practical reasons: each stage can be built, tested, and reasoned about independently, and multiple target stacks (Python, TypeScript, a specific orchestration framework) can share the first three stages entirely.</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2200"/>
        <w:gridCol w:w="7160"/>
      </w:tblGrid>
      <w:tr>
        <w:tc>
          <w:tcPr>
            <w:tcW w:type="dxa" w:w="22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Stage 1 — Parser</w:t>
            </w:r>
          </w:p>
        </w:tc>
        <w:tc>
          <w:tcPr>
            <w:tcW w:type="dxa" w:w="7160"/>
            <w:shd w:fill="FFFFFF" w:val="clear"/>
            <w:tcMar>
              <w:top w:type="dxa" w:w="90"/>
              <w:left w:type="dxa" w:w="120"/>
              <w:bottom w:type="dxa" w:w="90"/>
              <w:right w:type="dxa" w:w="120"/>
            </w:tcMar>
          </w:tcPr>
          <w:p>
            <w:r>
              <w:rPr>
                <w:rFonts w:ascii="Calibri" w:cs="Calibri" w:eastAsia="Calibri" w:hAnsi="Calibri"/>
                <w:color w:val="3B4256"/>
                <w:sz w:val="19"/>
                <w:szCs w:val="19"/>
              </w:rPr>
              <w:t xml:space="preserve">Raw YAML/JSON → typed AST, with $ref resolved and source locations attached.</w:t>
            </w:r>
          </w:p>
        </w:tc>
      </w:tr>
      <w:tr>
        <w:tc>
          <w:tcPr>
            <w:tcW w:type="dxa" w:w="2200"/>
            <w:shd w:fill="EAF1FD" w:val="clear"/>
            <w:tcMar>
              <w:top w:type="dxa" w:w="90"/>
              <w:left w:type="dxa" w:w="120"/>
              <w:bottom w:type="dxa" w:w="90"/>
              <w:right w:type="dxa" w:w="120"/>
            </w:tcMar>
          </w:tcPr>
          <w:p>
            <w:r>
              <w:rPr>
                <w:rFonts w:ascii="Calibri" w:cs="Calibri" w:eastAsia="Calibri" w:hAnsi="Calibri"/>
                <w:b/>
                <w:bCs/>
                <w:color w:val="141B4D"/>
                <w:sz w:val="19"/>
                <w:szCs w:val="19"/>
              </w:rPr>
              <w:t xml:space="preserve">Stage 2 — Validator</w:t>
            </w:r>
          </w:p>
        </w:tc>
        <w:tc>
          <w:tcPr>
            <w:tcW w:type="dxa" w:w="7160"/>
            <w:shd w:fill="EAF1FD" w:val="clear"/>
            <w:tcMar>
              <w:top w:type="dxa" w:w="90"/>
              <w:left w:type="dxa" w:w="120"/>
              <w:bottom w:type="dxa" w:w="90"/>
              <w:right w:type="dxa" w:w="120"/>
            </w:tcMar>
          </w:tcPr>
          <w:p>
            <w:r>
              <w:rPr>
                <w:rFonts w:ascii="Calibri" w:cs="Calibri" w:eastAsia="Calibri" w:hAnsi="Calibri"/>
                <w:color w:val="3B4256"/>
                <w:sz w:val="19"/>
                <w:szCs w:val="19"/>
              </w:rPr>
              <w:t xml:space="preserve">AST → pass/fail validation report (schema rules + business policy rules).</w:t>
            </w:r>
          </w:p>
        </w:tc>
      </w:tr>
      <w:tr>
        <w:tc>
          <w:tcPr>
            <w:tcW w:type="dxa" w:w="22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Stage 3 — IR Builder</w:t>
            </w:r>
          </w:p>
        </w:tc>
        <w:tc>
          <w:tcPr>
            <w:tcW w:type="dxa" w:w="7160"/>
            <w:shd w:fill="FFFFFF" w:val="clear"/>
            <w:tcMar>
              <w:top w:type="dxa" w:w="90"/>
              <w:left w:type="dxa" w:w="120"/>
              <w:bottom w:type="dxa" w:w="90"/>
              <w:right w:type="dxa" w:w="120"/>
            </w:tcMar>
          </w:tcPr>
          <w:p>
            <w:r>
              <w:rPr>
                <w:rFonts w:ascii="Calibri" w:cs="Calibri" w:eastAsia="Calibri" w:hAnsi="Calibri"/>
                <w:color w:val="3B4256"/>
                <w:sz w:val="19"/>
                <w:szCs w:val="19"/>
              </w:rPr>
              <w:t xml:space="preserve">Validated AST → target-agnostic Intermediate Representation (IR).</w:t>
            </w:r>
          </w:p>
        </w:tc>
      </w:tr>
      <w:tr>
        <w:tc>
          <w:tcPr>
            <w:tcW w:type="dxa" w:w="2200"/>
            <w:shd w:fill="EAF1FD" w:val="clear"/>
            <w:tcMar>
              <w:top w:type="dxa" w:w="90"/>
              <w:left w:type="dxa" w:w="120"/>
              <w:bottom w:type="dxa" w:w="90"/>
              <w:right w:type="dxa" w:w="120"/>
            </w:tcMar>
          </w:tcPr>
          <w:p>
            <w:r>
              <w:rPr>
                <w:rFonts w:ascii="Calibri" w:cs="Calibri" w:eastAsia="Calibri" w:hAnsi="Calibri"/>
                <w:b/>
                <w:bCs/>
                <w:color w:val="141B4D"/>
                <w:sz w:val="19"/>
                <w:szCs w:val="19"/>
              </w:rPr>
              <w:t xml:space="preserve">Stage 4 — Template Engine</w:t>
            </w:r>
          </w:p>
        </w:tc>
        <w:tc>
          <w:tcPr>
            <w:tcW w:type="dxa" w:w="7160"/>
            <w:shd w:fill="EAF1FD" w:val="clear"/>
            <w:tcMar>
              <w:top w:type="dxa" w:w="90"/>
              <w:left w:type="dxa" w:w="120"/>
              <w:bottom w:type="dxa" w:w="90"/>
              <w:right w:type="dxa" w:w="120"/>
            </w:tcMar>
          </w:tcPr>
          <w:p>
            <w:r>
              <w:rPr>
                <w:rFonts w:ascii="Calibri" w:cs="Calibri" w:eastAsia="Calibri" w:hAnsi="Calibri"/>
                <w:color w:val="3B4256"/>
                <w:sz w:val="19"/>
                <w:szCs w:val="19"/>
              </w:rPr>
              <w:t xml:space="preserve">IR + target adapter → an in-memory set of rendered source files.</w:t>
            </w:r>
          </w:p>
        </w:tc>
      </w:tr>
      <w:tr>
        <w:tc>
          <w:tcPr>
            <w:tcW w:type="dxa" w:w="22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Stage 5 — Output Packager</w:t>
            </w:r>
          </w:p>
        </w:tc>
        <w:tc>
          <w:tcPr>
            <w:tcW w:type="dxa" w:w="7160"/>
            <w:shd w:fill="FFFFFF" w:val="clear"/>
            <w:tcMar>
              <w:top w:type="dxa" w:w="90"/>
              <w:left w:type="dxa" w:w="120"/>
              <w:bottom w:type="dxa" w:w="90"/>
              <w:right w:type="dxa" w:w="120"/>
            </w:tcMar>
          </w:tcPr>
          <w:p>
            <w:r>
              <w:rPr>
                <w:rFonts w:ascii="Calibri" w:cs="Calibri" w:eastAsia="Calibri" w:hAnsi="Calibri"/>
                <w:color w:val="3B4256"/>
                <w:sz w:val="19"/>
                <w:szCs w:val="19"/>
              </w:rPr>
              <w:t xml:space="preserve">Rendered files → a complete on-disk project: code, tests, docs, deployment manifests.</w:t>
            </w:r>
          </w:p>
        </w:tc>
      </w:tr>
    </w:tbl>
    <w:p>
      <w:pPr>
        <w:spacing w:after="200"/>
      </w:pPr>
    </w:p>
    <w:tbl>
      <w:tblPr>
        <w:tblW w:type="dxa" w:w="9360"/>
        <w:tblBorders>
          <w:top w:val="single" w:color="1E2761" w:sz="4"/>
          <w:left w:val="single" w:color="1E2761" w:sz="4"/>
          <w:bottom w:val="single" w:color="1E2761" w:sz="4"/>
          <w:right w:val="single" w:color="1E2761" w:sz="4"/>
          <w:insideH w:val="single" w:color="auto" w:sz="4"/>
          <w:insideV w:val="single" w:color="auto" w:sz="4"/>
        </w:tblBorders>
      </w:tblPr>
      <w:tblGrid>
        <w:gridCol w:w="100"/>
      </w:tblGrid>
      <w:tr>
        <w:tc>
          <w:tcPr>
            <w:tcW w:type="dxa" w:w="9360"/>
            <w:shd w:fill="EAF1FD" w:val="clear"/>
            <w:tcMar>
              <w:top w:type="dxa" w:w="160"/>
              <w:left w:type="dxa" w:w="200"/>
              <w:bottom w:type="dxa" w:w="160"/>
              <w:right w:type="dxa" w:w="200"/>
            </w:tcMar>
          </w:tcPr>
          <w:p>
            <w:r>
              <w:rPr>
                <w:rFonts w:ascii="Calibri" w:cs="Calibri" w:eastAsia="Calibri" w:hAnsi="Calibri"/>
                <w:i/>
                <w:iCs/>
                <w:color w:val="141B4D"/>
                <w:sz w:val="21"/>
                <w:szCs w:val="21"/>
              </w:rPr>
              <w:t xml:space="preserve">A generation run either produces a complete, passing project or fails with a specific, located error at the earliest stage that can detect it. There is no partial or “best effort” output — a spec either generates cleanly or it doesn't generate at all.</w:t>
            </w:r>
          </w:p>
        </w:tc>
      </w:tr>
    </w:tbl>
    <w:p>
      <w:pPr>
        <w:pStyle w:val="Heading2"/>
        <w:spacing w:after="160" w:before="340"/>
      </w:pPr>
      <w:r>
        <w:t xml:space="preserve">7.1 Stage 1 — Parser</w:t>
      </w:r>
    </w:p>
    <w:p>
      <w:pPr>
        <w:spacing w:after="180" w:line="276"/>
      </w:pPr>
      <w:r>
        <w:rPr>
          <w:rFonts w:ascii="Calibri" w:cs="Calibri" w:eastAsia="Calibri" w:hAnsi="Calibri"/>
          <w:b w:val="false"/>
          <w:bCs w:val="false"/>
          <w:i w:val="false"/>
          <w:iCs w:val="false"/>
          <w:color w:val="202030"/>
          <w:sz w:val="22"/>
          <w:szCs w:val="22"/>
        </w:rPr>
        <w:t xml:space="preserve">Purpose: convert the raw spec file into an in-memory, typed Abstract Syntax Tree (AST), with every $ref pointer resolved and every node carrying the file/line/column it came from, so later stages can produce error messages a spec author can act on.</w:t>
      </w:r>
    </w:p>
    <w:p>
      <w:pPr>
        <w:pStyle w:val="Heading3"/>
        <w:spacing w:after="120" w:before="260"/>
      </w:pPr>
      <w:r>
        <w:t xml:space="preserve">What it does, step by step</w:t>
      </w:r>
    </w:p>
    <w:p>
      <w:pPr>
        <w:spacing w:after="100" w:line="264"/>
        <w:ind w:left="360" w:hanging="360"/>
      </w:pPr>
      <w:r>
        <w:rPr>
          <w:rFonts w:ascii="Calibri" w:cs="Calibri" w:eastAsia="Calibri" w:hAnsi="Calibri"/>
          <w:b/>
          <w:bCs/>
          <w:color w:val="1E2761"/>
          <w:sz w:val="22"/>
          <w:szCs w:val="22"/>
        </w:rPr>
        <w:t xml:space="preserve">1.  </w:t>
      </w:r>
      <w:r>
        <w:rPr>
          <w:rFonts w:ascii="Calibri" w:cs="Calibri" w:eastAsia="Calibri" w:hAnsi="Calibri"/>
          <w:color w:val="202030"/>
          <w:sz w:val="22"/>
          <w:szCs w:val="22"/>
        </w:rPr>
        <w:t xml:space="preserve">Load the file and detect its format (YAML or JSON) from its extension and, as a fallback, its content.</w:t>
      </w:r>
    </w:p>
    <w:p>
      <w:pPr>
        <w:spacing w:after="100" w:line="264"/>
        <w:ind w:left="360" w:hanging="360"/>
      </w:pPr>
      <w:r>
        <w:rPr>
          <w:rFonts w:ascii="Calibri" w:cs="Calibri" w:eastAsia="Calibri" w:hAnsi="Calibri"/>
          <w:b/>
          <w:bCs/>
          <w:color w:val="1E2761"/>
          <w:sz w:val="22"/>
          <w:szCs w:val="22"/>
        </w:rPr>
        <w:t xml:space="preserve">2.  </w:t>
      </w:r>
      <w:r>
        <w:rPr>
          <w:rFonts w:ascii="Calibri" w:cs="Calibri" w:eastAsia="Calibri" w:hAnsi="Calibri"/>
          <w:color w:val="202030"/>
          <w:sz w:val="22"/>
          <w:szCs w:val="22"/>
        </w:rPr>
        <w:t xml:space="preserve">Parse it with a standard YAML or JSON parser configured to preserve source position information for every node.</w:t>
      </w:r>
    </w:p>
    <w:p>
      <w:pPr>
        <w:spacing w:after="100" w:line="264"/>
        <w:ind w:left="360" w:hanging="360"/>
      </w:pPr>
      <w:r>
        <w:rPr>
          <w:rFonts w:ascii="Calibri" w:cs="Calibri" w:eastAsia="Calibri" w:hAnsi="Calibri"/>
          <w:b/>
          <w:bCs/>
          <w:color w:val="1E2761"/>
          <w:sz w:val="22"/>
          <w:szCs w:val="22"/>
        </w:rPr>
        <w:t xml:space="preserve">3.  </w:t>
      </w:r>
      <w:r>
        <w:rPr>
          <w:rFonts w:ascii="Calibri" w:cs="Calibri" w:eastAsia="Calibri" w:hAnsi="Calibri"/>
          <w:color w:val="202030"/>
          <w:sz w:val="22"/>
          <w:szCs w:val="22"/>
        </w:rPr>
        <w:t xml:space="preserve">Walk the raw parsed object and resolve every $ref — both local pointers (e.g. #/capabilities/0) and file-relative references to shared schema fragments (e.g. schemas/kyc-input.json) — loading referenced files as needed.</w:t>
      </w:r>
    </w:p>
    <w:p>
      <w:pPr>
        <w:spacing w:after="100" w:line="264"/>
        <w:ind w:left="360" w:hanging="360"/>
      </w:pPr>
      <w:r>
        <w:rPr>
          <w:rFonts w:ascii="Calibri" w:cs="Calibri" w:eastAsia="Calibri" w:hAnsi="Calibri"/>
          <w:b/>
          <w:bCs/>
          <w:color w:val="1E2761"/>
          <w:sz w:val="22"/>
          <w:szCs w:val="22"/>
        </w:rPr>
        <w:t xml:space="preserve">4.  </w:t>
      </w:r>
      <w:r>
        <w:rPr>
          <w:rFonts w:ascii="Calibri" w:cs="Calibri" w:eastAsia="Calibri" w:hAnsi="Calibri"/>
          <w:color w:val="202030"/>
          <w:sz w:val="22"/>
          <w:szCs w:val="22"/>
        </w:rPr>
        <w:t xml:space="preserve">Build typed AST nodes that mirror the schema (an InfoNode, an array of CapabilityNode, an array of ToolNode, and so on), attaching the resolved reference targets and the original source location to each node.</w:t>
      </w:r>
    </w:p>
    <w:p>
      <w:pPr>
        <w:spacing w:after="100" w:line="264"/>
        <w:ind w:left="360" w:hanging="360"/>
      </w:pPr>
      <w:r>
        <w:rPr>
          <w:rFonts w:ascii="Calibri" w:cs="Calibri" w:eastAsia="Calibri" w:hAnsi="Calibri"/>
          <w:b/>
          <w:bCs/>
          <w:color w:val="1E2761"/>
          <w:sz w:val="22"/>
          <w:szCs w:val="22"/>
        </w:rPr>
        <w:t xml:space="preserve">5.  </w:t>
      </w:r>
      <w:r>
        <w:rPr>
          <w:rFonts w:ascii="Calibri" w:cs="Calibri" w:eastAsia="Calibri" w:hAnsi="Calibri"/>
          <w:color w:val="202030"/>
          <w:sz w:val="22"/>
          <w:szCs w:val="22"/>
        </w:rPr>
        <w:t xml:space="preserve">Detect and reject structural problems the parser itself is responsible for: malformed syntax, an unresolved $ref, or a duplicate id within an array section (e.g. two tools with the same id).</w:t>
      </w:r>
    </w:p>
    <w:p>
      <w:pPr>
        <w:pStyle w:val="Heading3"/>
        <w:spacing w:after="120" w:before="260"/>
      </w:pPr>
      <w:r>
        <w:t xml:space="preserve">Inputs and outputs</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2200"/>
        <w:gridCol w:w="7160"/>
      </w:tblGrid>
      <w:tr>
        <w:tc>
          <w:tcPr>
            <w:tcW w:type="dxa" w:w="22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Input</w:t>
            </w:r>
          </w:p>
        </w:tc>
        <w:tc>
          <w:tcPr>
            <w:tcW w:type="dxa" w:w="7160"/>
            <w:shd w:fill="FFFFFF" w:val="clear"/>
            <w:tcMar>
              <w:top w:type="dxa" w:w="90"/>
              <w:left w:type="dxa" w:w="120"/>
              <w:bottom w:type="dxa" w:w="90"/>
              <w:right w:type="dxa" w:w="120"/>
            </w:tcMar>
          </w:tcPr>
          <w:p>
            <w:r>
              <w:rPr>
                <w:rFonts w:ascii="Calibri" w:cs="Calibri" w:eastAsia="Calibri" w:hAnsi="Calibri"/>
                <w:color w:val="3B4256"/>
                <w:sz w:val="19"/>
                <w:szCs w:val="19"/>
              </w:rPr>
              <w:t xml:space="preserve">A single spec file (agent.spec.yaml or .json) plus any files it references via $ref.</w:t>
            </w:r>
          </w:p>
        </w:tc>
      </w:tr>
      <w:tr>
        <w:tc>
          <w:tcPr>
            <w:tcW w:type="dxa" w:w="2200"/>
            <w:shd w:fill="EAF1FD" w:val="clear"/>
            <w:tcMar>
              <w:top w:type="dxa" w:w="90"/>
              <w:left w:type="dxa" w:w="120"/>
              <w:bottom w:type="dxa" w:w="90"/>
              <w:right w:type="dxa" w:w="120"/>
            </w:tcMar>
          </w:tcPr>
          <w:p>
            <w:r>
              <w:rPr>
                <w:rFonts w:ascii="Calibri" w:cs="Calibri" w:eastAsia="Calibri" w:hAnsi="Calibri"/>
                <w:b/>
                <w:bCs/>
                <w:color w:val="141B4D"/>
                <w:sz w:val="19"/>
                <w:szCs w:val="19"/>
              </w:rPr>
              <w:t xml:space="preserve">Output</w:t>
            </w:r>
          </w:p>
        </w:tc>
        <w:tc>
          <w:tcPr>
            <w:tcW w:type="dxa" w:w="7160"/>
            <w:shd w:fill="EAF1FD" w:val="clear"/>
            <w:tcMar>
              <w:top w:type="dxa" w:w="90"/>
              <w:left w:type="dxa" w:w="120"/>
              <w:bottom w:type="dxa" w:w="90"/>
              <w:right w:type="dxa" w:w="120"/>
            </w:tcMar>
          </w:tcPr>
          <w:p>
            <w:r>
              <w:rPr>
                <w:rFonts w:ascii="Calibri" w:cs="Calibri" w:eastAsia="Calibri" w:hAnsi="Calibri"/>
                <w:color w:val="3B4256"/>
                <w:sz w:val="19"/>
                <w:szCs w:val="19"/>
              </w:rPr>
              <w:t xml:space="preserve">A typed AST object graph, held in memory, with every node's source location attached.</w:t>
            </w:r>
          </w:p>
        </w:tc>
      </w:tr>
      <w:tr>
        <w:tc>
          <w:tcPr>
            <w:tcW w:type="dxa" w:w="22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Failure mode</w:t>
            </w:r>
          </w:p>
        </w:tc>
        <w:tc>
          <w:tcPr>
            <w:tcW w:type="dxa" w:w="7160"/>
            <w:shd w:fill="FFFFFF" w:val="clear"/>
            <w:tcMar>
              <w:top w:type="dxa" w:w="90"/>
              <w:left w:type="dxa" w:w="120"/>
              <w:bottom w:type="dxa" w:w="90"/>
              <w:right w:type="dxa" w:w="120"/>
            </w:tcMar>
          </w:tcPr>
          <w:p>
            <w:r>
              <w:rPr>
                <w:rFonts w:ascii="Calibri" w:cs="Calibri" w:eastAsia="Calibri" w:hAnsi="Calibri"/>
                <w:color w:val="3B4256"/>
                <w:sz w:val="19"/>
                <w:szCs w:val="19"/>
              </w:rPr>
              <w:t xml:space="preserve">Parser-level errors (bad syntax, unresolved reference, duplicate id) stop the pipeline immediately, before Stage 2 runs, with a file:line:column error.</w:t>
            </w:r>
          </w:p>
        </w:tc>
      </w:tr>
    </w:tbl>
    <w:p>
      <w:pPr>
        <w:pStyle w:val="Heading3"/>
        <w:spacing w:after="120" w:before="260"/>
      </w:pPr>
      <w:r>
        <w:t xml:space="preserve">Design notes</w:t>
      </w:r>
    </w:p>
    <w:p>
      <w:pPr>
        <w:pStyle w:val="ListParagraph"/>
        <w:numPr>
          <w:ilvl w:val="0"/>
          <w:numId w:val="1"/>
        </w:numPr>
        <w:spacing w:after="90" w:line="264"/>
      </w:pPr>
      <w:r>
        <w:rPr>
          <w:rFonts w:ascii="Calibri" w:cs="Calibri" w:eastAsia="Calibri" w:hAnsi="Calibri"/>
          <w:color w:val="202030"/>
          <w:sz w:val="22"/>
          <w:szCs w:val="22"/>
        </w:rPr>
        <w:t xml:space="preserve">The AST is intentionally typed per section rather than a generic object tree — an InfoNode is a distinct type from a ToolNode — so later stages get compile-time safety instead of ad hoc field lookups.</w:t>
      </w:r>
    </w:p>
    <w:p>
      <w:pPr>
        <w:pStyle w:val="ListParagraph"/>
        <w:numPr>
          <w:ilvl w:val="0"/>
          <w:numId w:val="1"/>
        </w:numPr>
        <w:spacing w:after="90" w:line="264"/>
      </w:pPr>
      <w:r>
        <w:rPr>
          <w:rFonts w:ascii="Calibri" w:cs="Calibri" w:eastAsia="Calibri" w:hAnsi="Calibri"/>
          <w:color w:val="202030"/>
          <w:sz w:val="22"/>
          <w:szCs w:val="22"/>
        </w:rPr>
        <w:t xml:space="preserve">Reference resolution happens once, in the Parser, so no later stage needs to know the difference between an inline schema and a $ref — by the time the AST exists, everything is inline.</w:t>
      </w:r>
    </w:p>
    <w:p>
      <w:pPr>
        <w:pStyle w:val="ListParagraph"/>
        <w:numPr>
          <w:ilvl w:val="0"/>
          <w:numId w:val="1"/>
        </w:numPr>
        <w:spacing w:after="90" w:line="264"/>
      </w:pPr>
      <w:r>
        <w:rPr>
          <w:rFonts w:ascii="Calibri" w:cs="Calibri" w:eastAsia="Calibri" w:hAnsi="Calibri"/>
          <w:color w:val="202030"/>
          <w:sz w:val="22"/>
          <w:szCs w:val="22"/>
        </w:rPr>
        <w:t xml:space="preserve">Source locations are carried all the way through to the Validator (Stage 2) precisely so validation errors can point at a specific line in the spec, not just a field name.</w:t>
      </w:r>
    </w:p>
    <w:p>
      <w:pPr>
        <w:pStyle w:val="Heading2"/>
        <w:spacing w:after="160" w:before="340"/>
      </w:pPr>
      <w:r>
        <w:t xml:space="preserve">7.2 Stage 2 — Validator</w:t>
      </w:r>
    </w:p>
    <w:p>
      <w:pPr>
        <w:spacing w:after="180" w:line="276"/>
      </w:pPr>
      <w:r>
        <w:rPr>
          <w:rFonts w:ascii="Calibri" w:cs="Calibri" w:eastAsia="Calibri" w:hAnsi="Calibri"/>
          <w:b w:val="false"/>
          <w:bCs w:val="false"/>
          <w:i w:val="false"/>
          <w:iCs w:val="false"/>
          <w:color w:val="202030"/>
          <w:sz w:val="22"/>
          <w:szCs w:val="22"/>
        </w:rPr>
        <w:t xml:space="preserve">Purpose: confirm the spec is both structurally correct and organizationally compliant before any code is generated from it. This is the single gate that keeps a non-compliant or malformed spec from ever reaching the generator's output.</w:t>
      </w:r>
    </w:p>
    <w:p>
      <w:pPr>
        <w:pStyle w:val="Heading3"/>
        <w:spacing w:after="120" w:before="260"/>
      </w:pPr>
      <w:r>
        <w:t xml:space="preserve">Two passes</w:t>
      </w:r>
    </w:p>
    <w:p>
      <w:pPr>
        <w:spacing w:after="180" w:line="276"/>
      </w:pPr>
      <w:r>
        <w:rPr>
          <w:rFonts w:ascii="Calibri" w:cs="Calibri" w:eastAsia="Calibri" w:hAnsi="Calibri"/>
          <w:b w:val="false"/>
          <w:bCs w:val="false"/>
          <w:i w:val="false"/>
          <w:iCs w:val="false"/>
          <w:color w:val="202030"/>
          <w:sz w:val="22"/>
          <w:szCs w:val="22"/>
        </w:rPr>
        <w:t xml:space="preserve">a) Schema validation — checks the AST against the formal JSON Schema (Appendix A) using a standard JSON Schema validator. This catches everything expressible as a single-document constraint: a missing required field, a wrong type, a value outside an enum.</w:t>
      </w:r>
    </w:p>
    <w:p>
      <w:pPr>
        <w:spacing w:after="180" w:line="276"/>
      </w:pPr>
      <w:r>
        <w:rPr>
          <w:rFonts w:ascii="Calibri" w:cs="Calibri" w:eastAsia="Calibri" w:hAnsi="Calibri"/>
          <w:b w:val="false"/>
          <w:bCs w:val="false"/>
          <w:i w:val="false"/>
          <w:iCs w:val="false"/>
          <w:color w:val="202030"/>
          <w:sz w:val="22"/>
          <w:szCs w:val="22"/>
        </w:rPr>
        <w:t xml:space="preserve">b) Policy validation — checks a second set of rules that JSON Schema cannot express because they span multiple fields or sections. These are the rules that encode organizational risk requirements, not just document structure. Representative examples:</w:t>
      </w:r>
    </w:p>
    <w:p>
      <w:pPr>
        <w:pStyle w:val="ListParagraph"/>
        <w:numPr>
          <w:ilvl w:val="0"/>
          <w:numId w:val="1"/>
        </w:numPr>
        <w:spacing w:after="90" w:line="264"/>
      </w:pPr>
      <w:r>
        <w:rPr>
          <w:rFonts w:ascii="Calibri" w:cs="Calibri" w:eastAsia="Calibri" w:hAnsi="Calibri"/>
          <w:color w:val="202030"/>
          <w:sz w:val="22"/>
          <w:szCs w:val="22"/>
        </w:rPr>
        <w:t xml:space="preserve">If any tools[] entry has sideEffects of write or irreversible, or any dataContracts[] entry allows write or delete, then humanInLoop.checkpoints must be non-empty.</w:t>
      </w:r>
    </w:p>
    <w:p>
      <w:pPr>
        <w:pStyle w:val="ListParagraph"/>
        <w:numPr>
          <w:ilvl w:val="0"/>
          <w:numId w:val="1"/>
        </w:numPr>
        <w:spacing w:after="90" w:line="264"/>
      </w:pPr>
      <w:r>
        <w:rPr>
          <w:rFonts w:ascii="Calibri" w:cs="Calibri" w:eastAsia="Calibri" w:hAnsi="Calibri"/>
          <w:color w:val="202030"/>
          <w:sz w:val="22"/>
          <w:szCs w:val="22"/>
        </w:rPr>
        <w:t xml:space="preserve">If any dataContracts[] entry has piiPresent: true, then guardrails.piiHandling must be set.</w:t>
      </w:r>
    </w:p>
    <w:p>
      <w:pPr>
        <w:pStyle w:val="ListParagraph"/>
        <w:numPr>
          <w:ilvl w:val="0"/>
          <w:numId w:val="1"/>
        </w:numPr>
        <w:spacing w:after="90" w:line="264"/>
      </w:pPr>
      <w:r>
        <w:rPr>
          <w:rFonts w:ascii="Calibri" w:cs="Calibri" w:eastAsia="Calibri" w:hAnsi="Calibri"/>
          <w:color w:val="202030"/>
          <w:sz w:val="22"/>
          <w:szCs w:val="22"/>
        </w:rPr>
        <w:t xml:space="preserve">If any dataContracts[] entry has classification of restricted, model.provider must appear on the centrally maintained approved-provider list.</w:t>
      </w:r>
    </w:p>
    <w:p>
      <w:pPr>
        <w:pStyle w:val="ListParagraph"/>
        <w:numPr>
          <w:ilvl w:val="0"/>
          <w:numId w:val="1"/>
        </w:numPr>
        <w:spacing w:after="90" w:line="264"/>
      </w:pPr>
      <w:r>
        <w:rPr>
          <w:rFonts w:ascii="Calibri" w:cs="Calibri" w:eastAsia="Calibri" w:hAnsi="Calibri"/>
          <w:color w:val="202030"/>
          <w:sz w:val="22"/>
          <w:szCs w:val="22"/>
        </w:rPr>
        <w:t xml:space="preserve">auth.credentialsRef must match the organization's secret-manager reference pattern; a literal value in that field is rejected outright.</w:t>
      </w:r>
    </w:p>
    <w:p>
      <w:pPr>
        <w:pStyle w:val="ListParagraph"/>
        <w:numPr>
          <w:ilvl w:val="0"/>
          <w:numId w:val="1"/>
        </w:numPr>
        <w:spacing w:after="90" w:line="264"/>
      </w:pPr>
      <w:r>
        <w:rPr>
          <w:rFonts w:ascii="Calibri" w:cs="Calibri" w:eastAsia="Calibri" w:hAnsi="Calibri"/>
          <w:color w:val="202030"/>
          <w:sz w:val="22"/>
          <w:szCs w:val="22"/>
        </w:rPr>
        <w:t xml:space="preserve">info.lifecycle of production requires deployment.approvalRequired to be true.</w:t>
      </w:r>
    </w:p>
    <w:p>
      <w:pPr>
        <w:pStyle w:val="Heading3"/>
        <w:spacing w:after="120" w:before="260"/>
      </w:pPr>
      <w:r>
        <w:t xml:space="preserve">Inputs and outputs</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2200"/>
        <w:gridCol w:w="7160"/>
      </w:tblGrid>
      <w:tr>
        <w:tc>
          <w:tcPr>
            <w:tcW w:type="dxa" w:w="22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Input</w:t>
            </w:r>
          </w:p>
        </w:tc>
        <w:tc>
          <w:tcPr>
            <w:tcW w:type="dxa" w:w="7160"/>
            <w:shd w:fill="FFFFFF" w:val="clear"/>
            <w:tcMar>
              <w:top w:type="dxa" w:w="90"/>
              <w:left w:type="dxa" w:w="120"/>
              <w:bottom w:type="dxa" w:w="90"/>
              <w:right w:type="dxa" w:w="120"/>
            </w:tcMar>
          </w:tcPr>
          <w:p>
            <w:r>
              <w:rPr>
                <w:rFonts w:ascii="Calibri" w:cs="Calibri" w:eastAsia="Calibri" w:hAnsi="Calibri"/>
                <w:color w:val="3B4256"/>
                <w:sz w:val="19"/>
                <w:szCs w:val="19"/>
              </w:rPr>
              <w:t xml:space="preserve">The AST produced by Stage 1, plus the formal JSON Schema (Appendix A) and the current policy rule set.</w:t>
            </w:r>
          </w:p>
        </w:tc>
      </w:tr>
      <w:tr>
        <w:tc>
          <w:tcPr>
            <w:tcW w:type="dxa" w:w="2200"/>
            <w:shd w:fill="EAF1FD" w:val="clear"/>
            <w:tcMar>
              <w:top w:type="dxa" w:w="90"/>
              <w:left w:type="dxa" w:w="120"/>
              <w:bottom w:type="dxa" w:w="90"/>
              <w:right w:type="dxa" w:w="120"/>
            </w:tcMar>
          </w:tcPr>
          <w:p>
            <w:r>
              <w:rPr>
                <w:rFonts w:ascii="Calibri" w:cs="Calibri" w:eastAsia="Calibri" w:hAnsi="Calibri"/>
                <w:b/>
                <w:bCs/>
                <w:color w:val="141B4D"/>
                <w:sz w:val="19"/>
                <w:szCs w:val="19"/>
              </w:rPr>
              <w:t xml:space="preserve">Output</w:t>
            </w:r>
          </w:p>
        </w:tc>
        <w:tc>
          <w:tcPr>
            <w:tcW w:type="dxa" w:w="7160"/>
            <w:shd w:fill="EAF1FD" w:val="clear"/>
            <w:tcMar>
              <w:top w:type="dxa" w:w="90"/>
              <w:left w:type="dxa" w:w="120"/>
              <w:bottom w:type="dxa" w:w="90"/>
              <w:right w:type="dxa" w:w="120"/>
            </w:tcMar>
          </w:tcPr>
          <w:p>
            <w:r>
              <w:rPr>
                <w:rFonts w:ascii="Calibri" w:cs="Calibri" w:eastAsia="Calibri" w:hAnsi="Calibri"/>
                <w:color w:val="3B4256"/>
                <w:sz w:val="19"/>
                <w:szCs w:val="19"/>
              </w:rPr>
              <w:t xml:space="preserve">A ValidationReport: { valid: boolean, errors: [...], warnings: [...] }, each entry carrying the source location from Stage 1.</w:t>
            </w:r>
          </w:p>
        </w:tc>
      </w:tr>
      <w:tr>
        <w:tc>
          <w:tcPr>
            <w:tcW w:type="dxa" w:w="22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Failure mode</w:t>
            </w:r>
          </w:p>
        </w:tc>
        <w:tc>
          <w:tcPr>
            <w:tcW w:type="dxa" w:w="7160"/>
            <w:shd w:fill="FFFFFF" w:val="clear"/>
            <w:tcMar>
              <w:top w:type="dxa" w:w="90"/>
              <w:left w:type="dxa" w:w="120"/>
              <w:bottom w:type="dxa" w:w="90"/>
              <w:right w:type="dxa" w:w="120"/>
            </w:tcMar>
          </w:tcPr>
          <w:p>
            <w:r>
              <w:rPr>
                <w:rFonts w:ascii="Calibri" w:cs="Calibri" w:eastAsia="Calibri" w:hAnsi="Calibri"/>
                <w:color w:val="3B4256"/>
                <w:sz w:val="19"/>
                <w:szCs w:val="19"/>
              </w:rPr>
              <w:t xml:space="preserve">Any schema or policy error sets valid: false. The pipeline stops; in CI this surfaces as a required check failure blocking merge.</w:t>
            </w:r>
          </w:p>
        </w:tc>
      </w:tr>
    </w:tbl>
    <w:p>
      <w:pPr>
        <w:pStyle w:val="Heading3"/>
        <w:spacing w:after="120" w:before="260"/>
      </w:pPr>
      <w:r>
        <w:t xml:space="preserve">Design notes</w:t>
      </w:r>
    </w:p>
    <w:p>
      <w:pPr>
        <w:pStyle w:val="ListParagraph"/>
        <w:numPr>
          <w:ilvl w:val="0"/>
          <w:numId w:val="1"/>
        </w:numPr>
        <w:spacing w:after="90" w:line="264"/>
      </w:pPr>
      <w:r>
        <w:rPr>
          <w:rFonts w:ascii="Calibri" w:cs="Calibri" w:eastAsia="Calibri" w:hAnsi="Calibri"/>
          <w:color w:val="202030"/>
          <w:sz w:val="22"/>
          <w:szCs w:val="22"/>
        </w:rPr>
        <w:t xml:space="preserve">Policy rules are implemented as small, independently testable predicate functions registered against the AST — each rule is a pure function of (ast) → error[] — rather than embedded in the schema or hand-coded inline in the Validator.</w:t>
      </w:r>
    </w:p>
    <w:p>
      <w:pPr>
        <w:pStyle w:val="ListParagraph"/>
        <w:numPr>
          <w:ilvl w:val="0"/>
          <w:numId w:val="1"/>
        </w:numPr>
        <w:spacing w:after="90" w:line="264"/>
      </w:pPr>
      <w:r>
        <w:rPr>
          <w:rFonts w:ascii="Calibri" w:cs="Calibri" w:eastAsia="Calibri" w:hAnsi="Calibri"/>
          <w:color w:val="202030"/>
          <w:sz w:val="22"/>
          <w:szCs w:val="22"/>
        </w:rPr>
        <w:t xml:space="preserve">Because policy rules are code, not markup, they can express arbitrary cross-field logic (as in the examples above) that JSON Schema's conditional keywords (if/then, dependentRequired) would make unreadable at this level of complexity.</w:t>
      </w:r>
    </w:p>
    <w:p>
      <w:pPr>
        <w:pStyle w:val="ListParagraph"/>
        <w:numPr>
          <w:ilvl w:val="0"/>
          <w:numId w:val="1"/>
        </w:numPr>
        <w:spacing w:after="90" w:line="264"/>
      </w:pPr>
      <w:r>
        <w:rPr>
          <w:rFonts w:ascii="Calibri" w:cs="Calibri" w:eastAsia="Calibri" w:hAnsi="Calibri"/>
          <w:color w:val="202030"/>
          <w:sz w:val="22"/>
          <w:szCs w:val="22"/>
        </w:rPr>
        <w:t xml:space="preserve">The rule set is versioned separately from the schema itself, so a new compliance requirement can be added without bumping specVersion — it simply starts applying to every future validation run.</w:t>
      </w:r>
    </w:p>
    <w:p>
      <w:pPr>
        <w:pStyle w:val="Heading2"/>
        <w:spacing w:after="160" w:before="340"/>
      </w:pPr>
      <w:r>
        <w:t xml:space="preserve">7.3 Stage 3 — IR Builder</w:t>
      </w:r>
    </w:p>
    <w:p>
      <w:pPr>
        <w:spacing w:after="180" w:line="276"/>
      </w:pPr>
      <w:r>
        <w:rPr>
          <w:rFonts w:ascii="Calibri" w:cs="Calibri" w:eastAsia="Calibri" w:hAnsi="Calibri"/>
          <w:b w:val="false"/>
          <w:bCs w:val="false"/>
          <w:i w:val="false"/>
          <w:iCs w:val="false"/>
          <w:color w:val="202030"/>
          <w:sz w:val="22"/>
          <w:szCs w:val="22"/>
        </w:rPr>
        <w:t xml:space="preserve">Purpose: normalize the validated AST into a target-agnostic Intermediate Representation (IR) so that no later stage — and no target adapter — needs to understand YAML/JSON authoring conventions, references, or the raw schema shape.</w:t>
      </w:r>
    </w:p>
    <w:p>
      <w:pPr>
        <w:pStyle w:val="Heading3"/>
        <w:spacing w:after="120" w:before="260"/>
      </w:pPr>
      <w:r>
        <w:t xml:space="preserve">What changes between AST and IR</w:t>
      </w:r>
    </w:p>
    <w:p>
      <w:pPr>
        <w:pStyle w:val="ListParagraph"/>
        <w:numPr>
          <w:ilvl w:val="0"/>
          <w:numId w:val="1"/>
        </w:numPr>
        <w:spacing w:after="90" w:line="264"/>
      </w:pPr>
      <w:r>
        <w:rPr>
          <w:rFonts w:ascii="Calibri" w:cs="Calibri" w:eastAsia="Calibri" w:hAnsi="Calibri"/>
          <w:color w:val="202030"/>
          <w:sz w:val="22"/>
          <w:szCs w:val="22"/>
        </w:rPr>
        <w:t xml:space="preserve">All references are fully inlined — the IR has no concept of $ref at all.</w:t>
      </w:r>
    </w:p>
    <w:p>
      <w:pPr>
        <w:pStyle w:val="ListParagraph"/>
        <w:numPr>
          <w:ilvl w:val="0"/>
          <w:numId w:val="1"/>
        </w:numPr>
        <w:spacing w:after="90" w:line="264"/>
      </w:pPr>
      <w:r>
        <w:rPr>
          <w:rFonts w:ascii="Calibri" w:cs="Calibri" w:eastAsia="Calibri" w:hAnsi="Calibri"/>
          <w:color w:val="202030"/>
          <w:sz w:val="22"/>
          <w:szCs w:val="22"/>
        </w:rPr>
        <w:t xml:space="preserve">All enum values are normalized to a single canonical casing and representation.</w:t>
      </w:r>
    </w:p>
    <w:p>
      <w:pPr>
        <w:pStyle w:val="ListParagraph"/>
        <w:numPr>
          <w:ilvl w:val="0"/>
          <w:numId w:val="1"/>
        </w:numPr>
        <w:spacing w:after="90" w:line="264"/>
      </w:pPr>
      <w:r>
        <w:rPr>
          <w:rFonts w:ascii="Calibri" w:cs="Calibri" w:eastAsia="Calibri" w:hAnsi="Calibri"/>
          <w:color w:val="202030"/>
          <w:sz w:val="22"/>
          <w:szCs w:val="22"/>
        </w:rPr>
        <w:t xml:space="preserve">Cross-references become direct object links: a ToolIR's authRef becomes a direct pointer to the resolved scope list, not a string the reader has to look up.</w:t>
      </w:r>
    </w:p>
    <w:p>
      <w:pPr>
        <w:pStyle w:val="ListParagraph"/>
        <w:numPr>
          <w:ilvl w:val="0"/>
          <w:numId w:val="1"/>
        </w:numPr>
        <w:spacing w:after="90" w:line="264"/>
      </w:pPr>
      <w:r>
        <w:rPr>
          <w:rFonts w:ascii="Calibri" w:cs="Calibri" w:eastAsia="Calibri" w:hAnsi="Calibri"/>
          <w:color w:val="202030"/>
          <w:sz w:val="22"/>
          <w:szCs w:val="22"/>
        </w:rPr>
        <w:t xml:space="preserve">Derived fields are computed once and attached, so every later stage gets them for free instead of recomputing the same logic — for example requiresHumanApproval (a boolean derived from guardrails.maxAutonomySteps and the presence of write/irreversible tools), or a simplified, target-neutral type description for every capability's inputs/outputs.</w:t>
      </w:r>
    </w:p>
    <w:p>
      <w:pPr>
        <w:pStyle w:val="Heading3"/>
        <w:spacing w:after="120" w:before="260"/>
      </w:pPr>
      <w:r>
        <w:t xml:space="preserve">Inputs and outputs</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2200"/>
        <w:gridCol w:w="7160"/>
      </w:tblGrid>
      <w:tr>
        <w:tc>
          <w:tcPr>
            <w:tcW w:type="dxa" w:w="22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Input</w:t>
            </w:r>
          </w:p>
        </w:tc>
        <w:tc>
          <w:tcPr>
            <w:tcW w:type="dxa" w:w="7160"/>
            <w:shd w:fill="FFFFFF" w:val="clear"/>
            <w:tcMar>
              <w:top w:type="dxa" w:w="90"/>
              <w:left w:type="dxa" w:w="120"/>
              <w:bottom w:type="dxa" w:w="90"/>
              <w:right w:type="dxa" w:w="120"/>
            </w:tcMar>
          </w:tcPr>
          <w:p>
            <w:r>
              <w:rPr>
                <w:rFonts w:ascii="Calibri" w:cs="Calibri" w:eastAsia="Calibri" w:hAnsi="Calibri"/>
                <w:color w:val="3B4256"/>
                <w:sz w:val="19"/>
                <w:szCs w:val="19"/>
              </w:rPr>
              <w:t xml:space="preserve">The AST that passed Stage 2 validation.</w:t>
            </w:r>
          </w:p>
        </w:tc>
      </w:tr>
      <w:tr>
        <w:tc>
          <w:tcPr>
            <w:tcW w:type="dxa" w:w="2200"/>
            <w:shd w:fill="EAF1FD" w:val="clear"/>
            <w:tcMar>
              <w:top w:type="dxa" w:w="90"/>
              <w:left w:type="dxa" w:w="120"/>
              <w:bottom w:type="dxa" w:w="90"/>
              <w:right w:type="dxa" w:w="120"/>
            </w:tcMar>
          </w:tcPr>
          <w:p>
            <w:r>
              <w:rPr>
                <w:rFonts w:ascii="Calibri" w:cs="Calibri" w:eastAsia="Calibri" w:hAnsi="Calibri"/>
                <w:b/>
                <w:bCs/>
                <w:color w:val="141B4D"/>
                <w:sz w:val="19"/>
                <w:szCs w:val="19"/>
              </w:rPr>
              <w:t xml:space="preserve">Output</w:t>
            </w:r>
          </w:p>
        </w:tc>
        <w:tc>
          <w:tcPr>
            <w:tcW w:type="dxa" w:w="7160"/>
            <w:shd w:fill="EAF1FD" w:val="clear"/>
            <w:tcMar>
              <w:top w:type="dxa" w:w="90"/>
              <w:left w:type="dxa" w:w="120"/>
              <w:bottom w:type="dxa" w:w="90"/>
              <w:right w:type="dxa" w:w="120"/>
            </w:tcMar>
          </w:tcPr>
          <w:p>
            <w:r>
              <w:rPr>
                <w:rFonts w:ascii="Calibri" w:cs="Calibri" w:eastAsia="Calibri" w:hAnsi="Calibri"/>
                <w:color w:val="3B4256"/>
                <w:sz w:val="19"/>
                <w:szCs w:val="19"/>
              </w:rPr>
              <w:t xml:space="preserve">An AgentIR object graph, optionally also serialized to agent.ir.json for caching, debugging, or inspection outside the pipeline.</w:t>
            </w:r>
          </w:p>
        </w:tc>
      </w:tr>
      <w:tr>
        <w:tc>
          <w:tcPr>
            <w:tcW w:type="dxa" w:w="22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Failure mode</w:t>
            </w:r>
          </w:p>
        </w:tc>
        <w:tc>
          <w:tcPr>
            <w:tcW w:type="dxa" w:w="7160"/>
            <w:shd w:fill="FFFFFF" w:val="clear"/>
            <w:tcMar>
              <w:top w:type="dxa" w:w="90"/>
              <w:left w:type="dxa" w:w="120"/>
              <w:bottom w:type="dxa" w:w="90"/>
              <w:right w:type="dxa" w:w="120"/>
            </w:tcMar>
          </w:tcPr>
          <w:p>
            <w:r>
              <w:rPr>
                <w:rFonts w:ascii="Calibri" w:cs="Calibri" w:eastAsia="Calibri" w:hAnsi="Calibri"/>
                <w:color w:val="3B4256"/>
                <w:sz w:val="19"/>
                <w:szCs w:val="19"/>
              </w:rPr>
              <w:t xml:space="preserve">IR construction should not fail for a spec that already passed validation; if it does, that indicates a gap between the schema/policy rules and the IR Builder's assumptions, and is treated as a defect in the generator itself, not the spec.</w:t>
            </w:r>
          </w:p>
        </w:tc>
      </w:tr>
    </w:tbl>
    <w:p>
      <w:pPr>
        <w:pStyle w:val="Heading3"/>
        <w:spacing w:after="120" w:before="260"/>
      </w:pPr>
      <w:r>
        <w:t xml:space="preserve">Why a separate IR stage, rather than generating directly from the AST</w:t>
      </w:r>
    </w:p>
    <w:p>
      <w:pPr>
        <w:spacing w:after="180" w:line="276"/>
      </w:pPr>
      <w:r>
        <w:rPr>
          <w:rFonts w:ascii="Calibri" w:cs="Calibri" w:eastAsia="Calibri" w:hAnsi="Calibri"/>
          <w:b w:val="false"/>
          <w:bCs w:val="false"/>
          <w:i w:val="false"/>
          <w:iCs w:val="false"/>
          <w:color w:val="202030"/>
          <w:sz w:val="22"/>
          <w:szCs w:val="22"/>
        </w:rPr>
        <w:t xml:space="preserve">Two reasons. First, it decouples the Parser and Validator — which only need to understand the spec document — from code-generation concerns entirely. Second, and more importantly, it lets every target adapter (Section 7.5) share one normalized representation, so reference resolution, derived-field computation, and type normalization are implemented exactly once instead of being re-implemented, and potentially re-diverging, inside each adapter.</w:t>
      </w:r>
    </w:p>
    <w:p>
      <w:pPr>
        <w:pStyle w:val="Heading2"/>
        <w:spacing w:after="160" w:before="340"/>
      </w:pPr>
      <w:r>
        <w:t xml:space="preserve">7.4 Stage 4 — Template Engine</w:t>
      </w:r>
    </w:p>
    <w:p>
      <w:pPr>
        <w:spacing w:after="180" w:line="276"/>
      </w:pPr>
      <w:r>
        <w:rPr>
          <w:rFonts w:ascii="Calibri" w:cs="Calibri" w:eastAsia="Calibri" w:hAnsi="Calibri"/>
          <w:b w:val="false"/>
          <w:bCs w:val="false"/>
          <w:i w:val="false"/>
          <w:iCs w:val="false"/>
          <w:color w:val="202030"/>
          <w:sz w:val="22"/>
          <w:szCs w:val="22"/>
        </w:rPr>
        <w:t xml:space="preserve">Purpose: render the IR into actual source files for a specific target — a specific language and runtime combination, such as a Python service or a TypeScript/Node service. This is the same pattern established OpenAPI code generators use to turn one API spec into clients or servers in many languages.</w:t>
      </w:r>
    </w:p>
    <w:p>
      <w:pPr>
        <w:pStyle w:val="Heading3"/>
        <w:spacing w:after="120" w:before="260"/>
      </w:pPr>
      <w:r>
        <w:t xml:space="preserve">How a target is defined</w:t>
      </w:r>
    </w:p>
    <w:p>
      <w:pPr>
        <w:spacing w:after="180" w:line="276"/>
      </w:pPr>
      <w:r>
        <w:rPr>
          <w:rFonts w:ascii="Calibri" w:cs="Calibri" w:eastAsia="Calibri" w:hAnsi="Calibri"/>
          <w:b w:val="false"/>
          <w:bCs w:val="false"/>
          <w:i w:val="false"/>
          <w:iCs w:val="false"/>
          <w:color w:val="202030"/>
          <w:sz w:val="22"/>
          <w:szCs w:val="22"/>
        </w:rPr>
        <w:t xml:space="preserve">A target adapter (formally defined in Section 7.6) bundles a template pack: a directory of template files written in a templating language, plus a manifest that maps IR data to output files. A manifest entry looks conceptually like:</w:t>
      </w:r>
    </w:p>
    <w:tbl>
      <w:tblPr>
        <w:tblW w:type="dxa" w:w="9360"/>
        <w:tblBorders>
          <w:top w:val="none"/>
          <w:left w:val="none"/>
          <w:bottom w:val="none"/>
          <w:right w:val="none"/>
          <w:insideH w:val="single" w:color="auto" w:sz="4"/>
          <w:insideV w:val="single" w:color="auto" w:sz="4"/>
        </w:tblBorders>
      </w:tblPr>
      <w:tblGrid>
        <w:gridCol w:w="100"/>
      </w:tblGrid>
      <w:tr>
        <w:tc>
          <w:tcPr>
            <w:tcW w:type="dxa" w:w="9360"/>
            <w:shd w:fill="10163D" w:val="clear"/>
            <w:tcMar>
              <w:top w:type="dxa" w:w="200"/>
              <w:left w:type="dxa" w:w="260"/>
              <w:bottom w:type="dxa" w:w="200"/>
              <w:right w:type="dxa" w:w="260"/>
            </w:tcMar>
          </w:tcPr>
          <w:p>
            <w:pPr>
              <w:spacing w:after="20"/>
            </w:pPr>
            <w:r>
              <w:rPr>
                <w:rFonts w:ascii="Courier New" w:cs="Courier New" w:eastAsia="Courier New" w:hAnsi="Courier New"/>
                <w:color w:val="EAF1FD"/>
                <w:sz w:val="18"/>
                <w:szCs w:val="18"/>
              </w:rPr>
              <w:t xml:space="preserve">{</w:t>
            </w:r>
          </w:p>
          <w:p>
            <w:pPr>
              <w:spacing w:after="20"/>
            </w:pPr>
            <w:r>
              <w:rPr>
                <w:rFonts w:ascii="Courier New" w:cs="Courier New" w:eastAsia="Courier New" w:hAnsi="Courier New"/>
                <w:color w:val="EAF1FD"/>
                <w:sz w:val="18"/>
                <w:szCs w:val="18"/>
              </w:rPr>
              <w:t xml:space="preserve">  template: "tool_binding.py.hbs",</w:t>
            </w:r>
          </w:p>
          <w:p>
            <w:pPr>
              <w:spacing w:after="20"/>
            </w:pPr>
            <w:r>
              <w:rPr>
                <w:rFonts w:ascii="Courier New" w:cs="Courier New" w:eastAsia="Courier New" w:hAnsi="Courier New"/>
                <w:color w:val="EAF1FD"/>
                <w:sz w:val="18"/>
                <w:szCs w:val="18"/>
              </w:rPr>
              <w:t xml:space="preserve">  outputPath: "src/tools/{{tool.id | snake_case}}.py",</w:t>
            </w:r>
          </w:p>
          <w:p>
            <w:pPr>
              <w:spacing w:after="20"/>
            </w:pPr>
            <w:r>
              <w:rPr>
                <w:rFonts w:ascii="Courier New" w:cs="Courier New" w:eastAsia="Courier New" w:hAnsi="Courier New"/>
                <w:color w:val="EAF1FD"/>
                <w:sz w:val="18"/>
                <w:szCs w:val="18"/>
              </w:rPr>
              <w:t xml:space="preserve">  iterateOver: "tools"</w:t>
            </w:r>
          </w:p>
          <w:p>
            <w:pPr>
              <w:spacing w:after="20"/>
            </w:pPr>
            <w:r>
              <w:rPr>
                <w:rFonts w:ascii="Courier New" w:cs="Courier New" w:eastAsia="Courier New" w:hAnsi="Courier New"/>
                <w:color w:val="EAF1FD"/>
                <w:sz w:val="18"/>
                <w:szCs w:val="18"/>
              </w:rPr>
              <w:t xml:space="preserve">}</w:t>
            </w:r>
          </w:p>
        </w:tc>
      </w:tr>
    </w:tbl>
    <w:p>
      <w:pPr>
        <w:pStyle w:val="Heading3"/>
        <w:spacing w:after="120" w:before="260"/>
      </w:pPr>
      <w:r>
        <w:t xml:space="preserve">What it does, step by step</w:t>
      </w:r>
    </w:p>
    <w:p>
      <w:pPr>
        <w:spacing w:after="100" w:line="264"/>
        <w:ind w:left="360" w:hanging="360"/>
      </w:pPr>
      <w:r>
        <w:rPr>
          <w:rFonts w:ascii="Calibri" w:cs="Calibri" w:eastAsia="Calibri" w:hAnsi="Calibri"/>
          <w:b/>
          <w:bCs/>
          <w:color w:val="1E2761"/>
          <w:sz w:val="22"/>
          <w:szCs w:val="22"/>
        </w:rPr>
        <w:t xml:space="preserve">1.  </w:t>
      </w:r>
      <w:r>
        <w:rPr>
          <w:rFonts w:ascii="Calibri" w:cs="Calibri" w:eastAsia="Calibri" w:hAnsi="Calibri"/>
          <w:color w:val="202030"/>
          <w:sz w:val="22"/>
          <w:szCs w:val="22"/>
        </w:rPr>
        <w:t xml:space="preserve">Select the target adapter, from a CLI flag or the deployment configuration.</w:t>
      </w:r>
    </w:p>
    <w:p>
      <w:pPr>
        <w:spacing w:after="100" w:line="264"/>
        <w:ind w:left="360" w:hanging="360"/>
      </w:pPr>
      <w:r>
        <w:rPr>
          <w:rFonts w:ascii="Calibri" w:cs="Calibri" w:eastAsia="Calibri" w:hAnsi="Calibri"/>
          <w:b/>
          <w:bCs/>
          <w:color w:val="1E2761"/>
          <w:sz w:val="22"/>
          <w:szCs w:val="22"/>
        </w:rPr>
        <w:t xml:space="preserve">2.  </w:t>
      </w:r>
      <w:r>
        <w:rPr>
          <w:rFonts w:ascii="Calibri" w:cs="Calibri" w:eastAsia="Calibri" w:hAnsi="Calibri"/>
          <w:color w:val="202030"/>
          <w:sz w:val="22"/>
          <w:szCs w:val="22"/>
        </w:rPr>
        <w:t xml:space="preserve">Load that adapter's template pack manifest — an ordered list of entries like the one above.</w:t>
      </w:r>
    </w:p>
    <w:p>
      <w:pPr>
        <w:spacing w:after="100" w:line="264"/>
        <w:ind w:left="360" w:hanging="360"/>
      </w:pPr>
      <w:r>
        <w:rPr>
          <w:rFonts w:ascii="Calibri" w:cs="Calibri" w:eastAsia="Calibri" w:hAnsi="Calibri"/>
          <w:b/>
          <w:bCs/>
          <w:color w:val="1E2761"/>
          <w:sz w:val="22"/>
          <w:szCs w:val="22"/>
        </w:rPr>
        <w:t xml:space="preserve">3.  </w:t>
      </w:r>
      <w:r>
        <w:rPr>
          <w:rFonts w:ascii="Calibri" w:cs="Calibri" w:eastAsia="Calibri" w:hAnsi="Calibri"/>
          <w:color w:val="202030"/>
          <w:sz w:val="22"/>
          <w:szCs w:val="22"/>
        </w:rPr>
        <w:t xml:space="preserve">For each manifest entry, render its template against the IR (and, if the entry has iterateOver, once per item in that IR collection — e.g. once per tool), using adapter-supplied helper functions such as case conversion.</w:t>
      </w:r>
    </w:p>
    <w:p>
      <w:pPr>
        <w:spacing w:after="100" w:line="264"/>
        <w:ind w:left="360" w:hanging="360"/>
      </w:pPr>
      <w:r>
        <w:rPr>
          <w:rFonts w:ascii="Calibri" w:cs="Calibri" w:eastAsia="Calibri" w:hAnsi="Calibri"/>
          <w:b/>
          <w:bCs/>
          <w:color w:val="1E2761"/>
          <w:sz w:val="22"/>
          <w:szCs w:val="22"/>
        </w:rPr>
        <w:t xml:space="preserve">4.  </w:t>
      </w:r>
      <w:r>
        <w:rPr>
          <w:rFonts w:ascii="Calibri" w:cs="Calibri" w:eastAsia="Calibri" w:hAnsi="Calibri"/>
          <w:color w:val="202030"/>
          <w:sz w:val="22"/>
          <w:szCs w:val="22"/>
        </w:rPr>
        <w:t xml:space="preserve">Collect every rendered output in memory as a virtual file set: a map from relative output path to rendered content. Nothing is written to disk yet.</w:t>
      </w:r>
    </w:p>
    <w:p>
      <w:pPr>
        <w:pStyle w:val="Heading3"/>
        <w:spacing w:after="120" w:before="260"/>
      </w:pPr>
      <w:r>
        <w:t xml:space="preserve">Inputs and outputs</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2200"/>
        <w:gridCol w:w="7160"/>
      </w:tblGrid>
      <w:tr>
        <w:tc>
          <w:tcPr>
            <w:tcW w:type="dxa" w:w="22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Input</w:t>
            </w:r>
          </w:p>
        </w:tc>
        <w:tc>
          <w:tcPr>
            <w:tcW w:type="dxa" w:w="7160"/>
            <w:shd w:fill="FFFFFF" w:val="clear"/>
            <w:tcMar>
              <w:top w:type="dxa" w:w="90"/>
              <w:left w:type="dxa" w:w="120"/>
              <w:bottom w:type="dxa" w:w="90"/>
              <w:right w:type="dxa" w:w="120"/>
            </w:tcMar>
          </w:tcPr>
          <w:p>
            <w:r>
              <w:rPr>
                <w:rFonts w:ascii="Calibri" w:cs="Calibri" w:eastAsia="Calibri" w:hAnsi="Calibri"/>
                <w:color w:val="3B4256"/>
                <w:sz w:val="19"/>
                <w:szCs w:val="19"/>
              </w:rPr>
              <w:t xml:space="preserve">The AgentIR from Stage 3, plus a selected target adapter's template pack and manifest.</w:t>
            </w:r>
          </w:p>
        </w:tc>
      </w:tr>
      <w:tr>
        <w:tc>
          <w:tcPr>
            <w:tcW w:type="dxa" w:w="2200"/>
            <w:shd w:fill="EAF1FD" w:val="clear"/>
            <w:tcMar>
              <w:top w:type="dxa" w:w="90"/>
              <w:left w:type="dxa" w:w="120"/>
              <w:bottom w:type="dxa" w:w="90"/>
              <w:right w:type="dxa" w:w="120"/>
            </w:tcMar>
          </w:tcPr>
          <w:p>
            <w:r>
              <w:rPr>
                <w:rFonts w:ascii="Calibri" w:cs="Calibri" w:eastAsia="Calibri" w:hAnsi="Calibri"/>
                <w:b/>
                <w:bCs/>
                <w:color w:val="141B4D"/>
                <w:sz w:val="19"/>
                <w:szCs w:val="19"/>
              </w:rPr>
              <w:t xml:space="preserve">Output</w:t>
            </w:r>
          </w:p>
        </w:tc>
        <w:tc>
          <w:tcPr>
            <w:tcW w:type="dxa" w:w="7160"/>
            <w:shd w:fill="EAF1FD" w:val="clear"/>
            <w:tcMar>
              <w:top w:type="dxa" w:w="90"/>
              <w:left w:type="dxa" w:w="120"/>
              <w:bottom w:type="dxa" w:w="90"/>
              <w:right w:type="dxa" w:w="120"/>
            </w:tcMar>
          </w:tcPr>
          <w:p>
            <w:r>
              <w:rPr>
                <w:rFonts w:ascii="Calibri" w:cs="Calibri" w:eastAsia="Calibri" w:hAnsi="Calibri"/>
                <w:color w:val="3B4256"/>
                <w:sz w:val="19"/>
                <w:szCs w:val="19"/>
              </w:rPr>
              <w:t xml:space="preserve">An in-memory virtual file set: Map&lt;relativePath, renderedContent&gt;.</w:t>
            </w:r>
          </w:p>
        </w:tc>
      </w:tr>
      <w:tr>
        <w:tc>
          <w:tcPr>
            <w:tcW w:type="dxa" w:w="22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Failure mode</w:t>
            </w:r>
          </w:p>
        </w:tc>
        <w:tc>
          <w:tcPr>
            <w:tcW w:type="dxa" w:w="7160"/>
            <w:shd w:fill="FFFFFF" w:val="clear"/>
            <w:tcMar>
              <w:top w:type="dxa" w:w="90"/>
              <w:left w:type="dxa" w:w="120"/>
              <w:bottom w:type="dxa" w:w="90"/>
              <w:right w:type="dxa" w:w="120"/>
            </w:tcMar>
          </w:tcPr>
          <w:p>
            <w:r>
              <w:rPr>
                <w:rFonts w:ascii="Calibri" w:cs="Calibri" w:eastAsia="Calibri" w:hAnsi="Calibri"/>
                <w:color w:val="3B4256"/>
                <w:sz w:val="19"/>
                <w:szCs w:val="19"/>
              </w:rPr>
              <w:t xml:space="preserve">A template rendering error (e.g. a manifest entry referencing an IR field that doesn't exist) fails that target's generation and is reported with the manifest entry and IR path involved.</w:t>
            </w:r>
          </w:p>
        </w:tc>
      </w:tr>
    </w:tbl>
    <w:p>
      <w:pPr>
        <w:pStyle w:val="Heading3"/>
        <w:spacing w:after="120" w:before="260"/>
      </w:pPr>
      <w:r>
        <w:t xml:space="preserve">Extensibility</w:t>
      </w:r>
    </w:p>
    <w:p>
      <w:pPr>
        <w:spacing w:after="180" w:line="276"/>
      </w:pPr>
      <w:r>
        <w:rPr>
          <w:rFonts w:ascii="Calibri" w:cs="Calibri" w:eastAsia="Calibri" w:hAnsi="Calibri"/>
          <w:b w:val="false"/>
          <w:bCs w:val="false"/>
          <w:i w:val="false"/>
          <w:iCs w:val="false"/>
          <w:color w:val="202030"/>
          <w:sz w:val="22"/>
          <w:szCs w:val="22"/>
        </w:rPr>
        <w:t xml:space="preserve">A business line can layer a template override pack on top of the default one — same manifest shape, same helper interface. Template resolution checks the override pack first and falls back to the default pack for anything it doesn't replace, so a team can restyle generated code to an internal convention without forking the generator.</w:t>
      </w:r>
    </w:p>
    <w:p>
      <w:pPr>
        <w:pStyle w:val="Heading2"/>
        <w:spacing w:after="160" w:before="340"/>
      </w:pPr>
      <w:r>
        <w:t xml:space="preserve">7.5 Stage 5 — Output Packager</w:t>
      </w:r>
    </w:p>
    <w:p>
      <w:pPr>
        <w:spacing w:after="180" w:line="276"/>
      </w:pPr>
      <w:r>
        <w:rPr>
          <w:rFonts w:ascii="Calibri" w:cs="Calibri" w:eastAsia="Calibri" w:hAnsi="Calibri"/>
          <w:b w:val="false"/>
          <w:bCs w:val="false"/>
          <w:i w:val="false"/>
          <w:iCs w:val="false"/>
          <w:color w:val="202030"/>
          <w:sz w:val="22"/>
          <w:szCs w:val="22"/>
        </w:rPr>
        <w:t xml:space="preserve">Purpose: turn the virtual file set from Stage 4 into a complete, on-disk project, and generate the artifacts that are not templated per se — documentation, changelog, and deployment manifests.</w:t>
      </w:r>
    </w:p>
    <w:p>
      <w:pPr>
        <w:pStyle w:val="Heading3"/>
        <w:spacing w:after="120" w:before="260"/>
      </w:pPr>
      <w:r>
        <w:t xml:space="preserve">What it does, step by step</w:t>
      </w:r>
    </w:p>
    <w:p>
      <w:pPr>
        <w:spacing w:after="100" w:line="264"/>
        <w:ind w:left="360" w:hanging="360"/>
      </w:pPr>
      <w:r>
        <w:rPr>
          <w:rFonts w:ascii="Calibri" w:cs="Calibri" w:eastAsia="Calibri" w:hAnsi="Calibri"/>
          <w:b/>
          <w:bCs/>
          <w:color w:val="1E2761"/>
          <w:sz w:val="22"/>
          <w:szCs w:val="22"/>
        </w:rPr>
        <w:t xml:space="preserve">1.  </w:t>
      </w:r>
      <w:r>
        <w:rPr>
          <w:rFonts w:ascii="Calibri" w:cs="Calibri" w:eastAsia="Calibri" w:hAnsi="Calibri"/>
          <w:color w:val="202030"/>
          <w:sz w:val="22"/>
          <w:szCs w:val="22"/>
        </w:rPr>
        <w:t xml:space="preserve">Write every file in the virtual file set to the target output directory, preserving the relative paths produced by the Template Engine.</w:t>
      </w:r>
    </w:p>
    <w:p>
      <w:pPr>
        <w:spacing w:after="100" w:line="264"/>
        <w:ind w:left="360" w:hanging="360"/>
      </w:pPr>
      <w:r>
        <w:rPr>
          <w:rFonts w:ascii="Calibri" w:cs="Calibri" w:eastAsia="Calibri" w:hAnsi="Calibri"/>
          <w:b/>
          <w:bCs/>
          <w:color w:val="1E2761"/>
          <w:sz w:val="22"/>
          <w:szCs w:val="22"/>
        </w:rPr>
        <w:t xml:space="preserve">2.  </w:t>
      </w:r>
      <w:r>
        <w:rPr>
          <w:rFonts w:ascii="Calibri" w:cs="Calibri" w:eastAsia="Calibri" w:hAnsi="Calibri"/>
          <w:color w:val="202030"/>
          <w:sz w:val="22"/>
          <w:szCs w:val="22"/>
        </w:rPr>
        <w:t xml:space="preserve">Generate reference documentation (docs/reference.html) directly from the IR using a small data-driven renderer — not a template — the same way an OpenAPI/Swagger UI page is generated live from a spec rather than hand-authored.</w:t>
      </w:r>
    </w:p>
    <w:p>
      <w:pPr>
        <w:spacing w:after="100" w:line="264"/>
        <w:ind w:left="360" w:hanging="360"/>
      </w:pPr>
      <w:r>
        <w:rPr>
          <w:rFonts w:ascii="Calibri" w:cs="Calibri" w:eastAsia="Calibri" w:hAnsi="Calibri"/>
          <w:b/>
          <w:bCs/>
          <w:color w:val="1E2761"/>
          <w:sz w:val="22"/>
          <w:szCs w:val="22"/>
        </w:rPr>
        <w:t xml:space="preserve">3.  </w:t>
      </w:r>
      <w:r>
        <w:rPr>
          <w:rFonts w:ascii="Calibri" w:cs="Calibri" w:eastAsia="Calibri" w:hAnsi="Calibri"/>
          <w:color w:val="202030"/>
          <w:sz w:val="22"/>
          <w:szCs w:val="22"/>
        </w:rPr>
        <w:t xml:space="preserve">Copy the original spec file into the output directory as the canonical record of what was built.</w:t>
      </w:r>
    </w:p>
    <w:p>
      <w:pPr>
        <w:spacing w:after="100" w:line="264"/>
        <w:ind w:left="360" w:hanging="360"/>
      </w:pPr>
      <w:r>
        <w:rPr>
          <w:rFonts w:ascii="Calibri" w:cs="Calibri" w:eastAsia="Calibri" w:hAnsi="Calibri"/>
          <w:b/>
          <w:bCs/>
          <w:color w:val="1E2761"/>
          <w:sz w:val="22"/>
          <w:szCs w:val="22"/>
        </w:rPr>
        <w:t xml:space="preserve">4.  </w:t>
      </w:r>
      <w:r>
        <w:rPr>
          <w:rFonts w:ascii="Calibri" w:cs="Calibri" w:eastAsia="Calibri" w:hAnsi="Calibri"/>
          <w:color w:val="202030"/>
          <w:sz w:val="22"/>
          <w:szCs w:val="22"/>
        </w:rPr>
        <w:t xml:space="preserve">Generate or append a CHANGELOG.md entry for this version, diffing info.version against the last version recorded in the agent registry.</w:t>
      </w:r>
    </w:p>
    <w:p>
      <w:pPr>
        <w:spacing w:after="100" w:line="264"/>
        <w:ind w:left="360" w:hanging="360"/>
      </w:pPr>
      <w:r>
        <w:rPr>
          <w:rFonts w:ascii="Calibri" w:cs="Calibri" w:eastAsia="Calibri" w:hAnsi="Calibri"/>
          <w:b/>
          <w:bCs/>
          <w:color w:val="1E2761"/>
          <w:sz w:val="22"/>
          <w:szCs w:val="22"/>
        </w:rPr>
        <w:t xml:space="preserve">5.  </w:t>
      </w:r>
      <w:r>
        <w:rPr>
          <w:rFonts w:ascii="Calibri" w:cs="Calibri" w:eastAsia="Calibri" w:hAnsi="Calibri"/>
          <w:color w:val="202030"/>
          <w:sz w:val="22"/>
          <w:szCs w:val="22"/>
        </w:rPr>
        <w:t xml:space="preserve">Generate deployment manifests (a Dockerfile and a manifest.yaml) from a small, fixed template set, parameterized by deployment.environments and deployment.rolloutStrategy.</w:t>
      </w:r>
    </w:p>
    <w:p>
      <w:pPr>
        <w:spacing w:after="100" w:line="264"/>
        <w:ind w:left="360" w:hanging="360"/>
      </w:pPr>
      <w:r>
        <w:rPr>
          <w:rFonts w:ascii="Calibri" w:cs="Calibri" w:eastAsia="Calibri" w:hAnsi="Calibri"/>
          <w:b/>
          <w:bCs/>
          <w:color w:val="1E2761"/>
          <w:sz w:val="22"/>
          <w:szCs w:val="22"/>
        </w:rPr>
        <w:t xml:space="preserve">6.  </w:t>
      </w:r>
      <w:r>
        <w:rPr>
          <w:rFonts w:ascii="Calibri" w:cs="Calibri" w:eastAsia="Calibri" w:hAnsi="Calibri"/>
          <w:color w:val="202030"/>
          <w:sz w:val="22"/>
          <w:szCs w:val="22"/>
        </w:rPr>
        <w:t xml:space="preserve">Run a final consistency check: confirm every file the manifest expected was actually produced, and that no template error from Stage 4 was silently dropped.</w:t>
      </w:r>
    </w:p>
    <w:p>
      <w:pPr>
        <w:pStyle w:val="Heading3"/>
        <w:spacing w:after="120" w:before="260"/>
      </w:pPr>
      <w:r>
        <w:t xml:space="preserve">Inputs and outputs</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2200"/>
        <w:gridCol w:w="7160"/>
      </w:tblGrid>
      <w:tr>
        <w:tc>
          <w:tcPr>
            <w:tcW w:type="dxa" w:w="22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Input</w:t>
            </w:r>
          </w:p>
        </w:tc>
        <w:tc>
          <w:tcPr>
            <w:tcW w:type="dxa" w:w="7160"/>
            <w:shd w:fill="FFFFFF" w:val="clear"/>
            <w:tcMar>
              <w:top w:type="dxa" w:w="90"/>
              <w:left w:type="dxa" w:w="120"/>
              <w:bottom w:type="dxa" w:w="90"/>
              <w:right w:type="dxa" w:w="120"/>
            </w:tcMar>
          </w:tcPr>
          <w:p>
            <w:r>
              <w:rPr>
                <w:rFonts w:ascii="Calibri" w:cs="Calibri" w:eastAsia="Calibri" w:hAnsi="Calibri"/>
                <w:color w:val="3B4256"/>
                <w:sz w:val="19"/>
                <w:szCs w:val="19"/>
              </w:rPr>
              <w:t xml:space="preserve">The virtual file set from Stage 4, plus the AgentIR (for docs/changelog generation) and deployment.* fields.</w:t>
            </w:r>
          </w:p>
        </w:tc>
      </w:tr>
      <w:tr>
        <w:tc>
          <w:tcPr>
            <w:tcW w:type="dxa" w:w="2200"/>
            <w:shd w:fill="EAF1FD" w:val="clear"/>
            <w:tcMar>
              <w:top w:type="dxa" w:w="90"/>
              <w:left w:type="dxa" w:w="120"/>
              <w:bottom w:type="dxa" w:w="90"/>
              <w:right w:type="dxa" w:w="120"/>
            </w:tcMar>
          </w:tcPr>
          <w:p>
            <w:r>
              <w:rPr>
                <w:rFonts w:ascii="Calibri" w:cs="Calibri" w:eastAsia="Calibri" w:hAnsi="Calibri"/>
                <w:b/>
                <w:bCs/>
                <w:color w:val="141B4D"/>
                <w:sz w:val="19"/>
                <w:szCs w:val="19"/>
              </w:rPr>
              <w:t xml:space="preserve">Output</w:t>
            </w:r>
          </w:p>
        </w:tc>
        <w:tc>
          <w:tcPr>
            <w:tcW w:type="dxa" w:w="7160"/>
            <w:shd w:fill="EAF1FD" w:val="clear"/>
            <w:tcMar>
              <w:top w:type="dxa" w:w="90"/>
              <w:left w:type="dxa" w:w="120"/>
              <w:bottom w:type="dxa" w:w="90"/>
              <w:right w:type="dxa" w:w="120"/>
            </w:tcMar>
          </w:tcPr>
          <w:p>
            <w:r>
              <w:rPr>
                <w:rFonts w:ascii="Calibri" w:cs="Calibri" w:eastAsia="Calibri" w:hAnsi="Calibri"/>
                <w:color w:val="3B4256"/>
                <w:sz w:val="19"/>
                <w:szCs w:val="19"/>
              </w:rPr>
              <w:t xml:space="preserve">A complete project directory on disk, ready for source control and CI (see Section 8 for its exact structure).</w:t>
            </w:r>
          </w:p>
        </w:tc>
      </w:tr>
      <w:tr>
        <w:tc>
          <w:tcPr>
            <w:tcW w:type="dxa" w:w="22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Failure mode</w:t>
            </w:r>
          </w:p>
        </w:tc>
        <w:tc>
          <w:tcPr>
            <w:tcW w:type="dxa" w:w="7160"/>
            <w:shd w:fill="FFFFFF" w:val="clear"/>
            <w:tcMar>
              <w:top w:type="dxa" w:w="90"/>
              <w:left w:type="dxa" w:w="120"/>
              <w:bottom w:type="dxa" w:w="90"/>
              <w:right w:type="dxa" w:w="120"/>
            </w:tcMar>
          </w:tcPr>
          <w:p>
            <w:r>
              <w:rPr>
                <w:rFonts w:ascii="Calibri" w:cs="Calibri" w:eastAsia="Calibri" w:hAnsi="Calibri"/>
                <w:color w:val="3B4256"/>
                <w:sz w:val="19"/>
                <w:szCs w:val="19"/>
              </w:rPr>
              <w:t xml:space="preserve">A missing expected file or an unwritable output path fails the run; partial output is not left in place — the packager writes to a temporary directory and moves it into place atomically only on success.</w:t>
            </w:r>
          </w:p>
        </w:tc>
      </w:tr>
    </w:tbl>
    <w:p>
      <w:pPr>
        <w:pStyle w:val="Heading2"/>
        <w:spacing w:after="160" w:before="340"/>
      </w:pPr>
      <w:r>
        <w:t xml:space="preserve">7.6 Target Adapters</w:t>
      </w:r>
    </w:p>
    <w:p>
      <w:pPr>
        <w:spacing w:after="180" w:line="276"/>
      </w:pPr>
      <w:r>
        <w:rPr>
          <w:rFonts w:ascii="Calibri" w:cs="Calibri" w:eastAsia="Calibri" w:hAnsi="Calibri"/>
          <w:b w:val="false"/>
          <w:bCs w:val="false"/>
          <w:i w:val="false"/>
          <w:iCs w:val="false"/>
          <w:color w:val="202030"/>
          <w:sz w:val="22"/>
          <w:szCs w:val="22"/>
        </w:rPr>
        <w:t xml:space="preserve">A target adapter is the pluggable unit that defines “what a target looks like” to Stages 4 and 5. Adding a new target — a new language, runtime, or orchestration framework — means implementing this interface; it requires no change to the Parser, Validator, or IR Builder.</w:t>
      </w:r>
    </w:p>
    <w:tbl>
      <w:tblPr>
        <w:tblW w:type="dxa" w:w="9360"/>
        <w:tblBorders>
          <w:top w:val="none"/>
          <w:left w:val="none"/>
          <w:bottom w:val="none"/>
          <w:right w:val="none"/>
          <w:insideH w:val="single" w:color="auto" w:sz="4"/>
          <w:insideV w:val="single" w:color="auto" w:sz="4"/>
        </w:tblBorders>
      </w:tblPr>
      <w:tblGrid>
        <w:gridCol w:w="100"/>
      </w:tblGrid>
      <w:tr>
        <w:tc>
          <w:tcPr>
            <w:tcW w:type="dxa" w:w="9360"/>
            <w:shd w:fill="10163D" w:val="clear"/>
            <w:tcMar>
              <w:top w:type="dxa" w:w="200"/>
              <w:left w:type="dxa" w:w="260"/>
              <w:bottom w:type="dxa" w:w="200"/>
              <w:right w:type="dxa" w:w="260"/>
            </w:tcMar>
          </w:tcPr>
          <w:p>
            <w:pPr>
              <w:spacing w:after="20"/>
            </w:pPr>
            <w:r>
              <w:rPr>
                <w:rFonts w:ascii="Courier New" w:cs="Courier New" w:eastAsia="Courier New" w:hAnsi="Courier New"/>
                <w:color w:val="EAF1FD"/>
                <w:sz w:val="18"/>
                <w:szCs w:val="18"/>
              </w:rPr>
              <w:t xml:space="preserve">interface TargetAdapter {</w:t>
            </w:r>
          </w:p>
          <w:p>
            <w:pPr>
              <w:spacing w:after="20"/>
            </w:pPr>
            <w:r>
              <w:rPr>
                <w:rFonts w:ascii="Courier New" w:cs="Courier New" w:eastAsia="Courier New" w:hAnsi="Courier New"/>
                <w:color w:val="EAF1FD"/>
                <w:sz w:val="18"/>
                <w:szCs w:val="18"/>
              </w:rPr>
              <w:t xml:space="preserve">  id: string;                    // e.g. "python-service"</w:t>
            </w:r>
          </w:p>
          <w:p>
            <w:pPr>
              <w:spacing w:after="20"/>
            </w:pPr>
            <w:r>
              <w:rPr>
                <w:rFonts w:ascii="Courier New" w:cs="Courier New" w:eastAsia="Courier New" w:hAnsi="Courier New"/>
                <w:color w:val="EAF1FD"/>
                <w:sz w:val="18"/>
                <w:szCs w:val="18"/>
              </w:rPr>
              <w:t xml:space="preserve">  templatePackPath: string;      // directory of templates + manifest</w:t>
            </w:r>
          </w:p>
          <w:p>
            <w:pPr>
              <w:spacing w:after="20"/>
            </w:pPr>
            <w:r>
              <w:rPr>
                <w:rFonts w:ascii="Courier New" w:cs="Courier New" w:eastAsia="Courier New" w:hAnsi="Courier New"/>
                <w:color w:val="EAF1FD"/>
                <w:sz w:val="18"/>
                <w:szCs w:val="18"/>
              </w:rPr>
              <w:t xml:space="preserve">  helpers: Record&lt;string, (v: any) =&gt; string&gt;;</w:t>
            </w:r>
          </w:p>
          <w:p>
            <w:pPr>
              <w:spacing w:after="20"/>
            </w:pPr>
            <w:r>
              <w:rPr>
                <w:rFonts w:ascii="Courier New" w:cs="Courier New" w:eastAsia="Courier New" w:hAnsi="Courier New"/>
                <w:color w:val="EAF1FD"/>
                <w:sz w:val="18"/>
                <w:szCs w:val="18"/>
              </w:rPr>
              <w:t xml:space="preserve">  postProcess?(</w:t>
            </w:r>
          </w:p>
          <w:p>
            <w:pPr>
              <w:spacing w:after="20"/>
            </w:pPr>
            <w:r>
              <w:rPr>
                <w:rFonts w:ascii="Courier New" w:cs="Courier New" w:eastAsia="Courier New" w:hAnsi="Courier New"/>
                <w:color w:val="EAF1FD"/>
                <w:sz w:val="18"/>
                <w:szCs w:val="18"/>
              </w:rPr>
              <w:t xml:space="preserve">    files: Map&lt;string, string&gt;,</w:t>
            </w:r>
          </w:p>
          <w:p>
            <w:pPr>
              <w:spacing w:after="20"/>
            </w:pPr>
            <w:r>
              <w:rPr>
                <w:rFonts w:ascii="Courier New" w:cs="Courier New" w:eastAsia="Courier New" w:hAnsi="Courier New"/>
                <w:color w:val="EAF1FD"/>
                <w:sz w:val="18"/>
                <w:szCs w:val="18"/>
              </w:rPr>
              <w:t xml:space="preserve">    ir: AgentIR</w:t>
            </w:r>
          </w:p>
          <w:p>
            <w:pPr>
              <w:spacing w:after="20"/>
            </w:pPr>
            <w:r>
              <w:rPr>
                <w:rFonts w:ascii="Courier New" w:cs="Courier New" w:eastAsia="Courier New" w:hAnsi="Courier New"/>
                <w:color w:val="EAF1FD"/>
                <w:sz w:val="18"/>
                <w:szCs w:val="18"/>
              </w:rPr>
              <w:t xml:space="preserve">  ): Map&lt;string, string&gt;;</w:t>
            </w:r>
          </w:p>
          <w:p>
            <w:pPr>
              <w:spacing w:after="20"/>
            </w:pPr>
            <w:r>
              <w:rPr>
                <w:rFonts w:ascii="Courier New" w:cs="Courier New" w:eastAsia="Courier New" w:hAnsi="Courier New"/>
                <w:color w:val="EAF1FD"/>
                <w:sz w:val="18"/>
                <w:szCs w:val="18"/>
              </w:rPr>
              <w:t xml:space="preserve">}</w:t>
            </w:r>
          </w:p>
        </w:tc>
      </w:tr>
    </w:tbl>
    <w:p>
      <w:pPr>
        <w:spacing w:after="180" w:line="276"/>
      </w:pPr>
      <w:r>
        <w:rPr>
          <w:rFonts w:ascii="Calibri" w:cs="Calibri" w:eastAsia="Calibri" w:hAnsi="Calibri"/>
          <w:b w:val="false"/>
          <w:bCs w:val="false"/>
          <w:i w:val="false"/>
          <w:iCs w:val="false"/>
          <w:color w:val="202030"/>
          <w:sz w:val="22"/>
          <w:szCs w:val="22"/>
        </w:rPr>
        <w:t xml:space="preserve">New adapters register through a plugin registry — either a directory convention the generator scans on startup, or an explicit list in generator configuration. postProcess is optional and lets an adapter make a final pass over rendered files (for example, running a code formatter) after templating but before packaging.</w:t>
      </w:r>
    </w:p>
    <w:p>
      <w:pPr>
        <w:spacing w:after="200"/>
      </w:pPr>
    </w:p>
    <w:tbl>
      <w:tblPr>
        <w:tblW w:type="dxa" w:w="9360"/>
        <w:tblBorders>
          <w:top w:val="single" w:color="1E2761" w:sz="4"/>
          <w:left w:val="single" w:color="1E2761" w:sz="4"/>
          <w:bottom w:val="single" w:color="1E2761" w:sz="4"/>
          <w:right w:val="single" w:color="1E2761" w:sz="4"/>
          <w:insideH w:val="single" w:color="auto" w:sz="4"/>
          <w:insideV w:val="single" w:color="auto" w:sz="4"/>
        </w:tblBorders>
      </w:tblPr>
      <w:tblGrid>
        <w:gridCol w:w="100"/>
      </w:tblGrid>
      <w:tr>
        <w:tc>
          <w:tcPr>
            <w:tcW w:type="dxa" w:w="9360"/>
            <w:shd w:fill="EAF1FD" w:val="clear"/>
            <w:tcMar>
              <w:top w:type="dxa" w:w="160"/>
              <w:left w:type="dxa" w:w="200"/>
              <w:bottom w:type="dxa" w:w="160"/>
              <w:right w:type="dxa" w:w="200"/>
            </w:tcMar>
          </w:tcPr>
          <w:p>
            <w:r>
              <w:rPr>
                <w:rFonts w:ascii="Calibri" w:cs="Calibri" w:eastAsia="Calibri" w:hAnsi="Calibri"/>
                <w:i/>
                <w:iCs/>
                <w:color w:val="141B4D"/>
                <w:sz w:val="21"/>
                <w:szCs w:val="21"/>
              </w:rPr>
              <w:t xml:space="preserve">Section 9 (Extensibility) in the companion design deck covers the same target-adapter, tool-connector, and template-pack extension points at a summary level; this section is the implementation-level version an engineer would build against.</w:t>
            </w:r>
          </w:p>
        </w:tc>
      </w:tr>
    </w:tbl>
    <w:p>
      <w:r>
        <w:br w:type="page"/>
      </w:r>
    </w:p>
    <w:p>
      <w:pPr>
        <w:pStyle w:val="Heading1"/>
        <w:spacing w:after="200" w:before="480"/>
      </w:pPr>
      <w:r>
        <w:t xml:space="preserve">8. Generated Project Structure &amp; Walkthrough</w:t>
      </w:r>
    </w:p>
    <w:p>
      <w:pPr>
        <w:pStyle w:val="Heading2"/>
        <w:spacing w:after="160" w:before="340"/>
      </w:pPr>
      <w:r>
        <w:t xml:space="preserve">8.1 What Gets Produced</w:t>
      </w:r>
    </w:p>
    <w:p>
      <w:pPr>
        <w:spacing w:after="180" w:line="276"/>
      </w:pPr>
      <w:r>
        <w:rPr>
          <w:rFonts w:ascii="Calibri" w:cs="Calibri" w:eastAsia="Calibri" w:hAnsi="Calibri"/>
          <w:b w:val="false"/>
          <w:bCs w:val="false"/>
          <w:i w:val="false"/>
          <w:iCs w:val="false"/>
          <w:color w:val="202030"/>
          <w:sz w:val="22"/>
          <w:szCs w:val="22"/>
        </w:rPr>
        <w:t xml:space="preserve">For a Python target, generating the example spec in Section 5 produces the following project. Every file below traces back to a specific spec section or a fixed packaging step — nothing in this tree is hand-written.</w:t>
      </w:r>
    </w:p>
    <w:tbl>
      <w:tblPr>
        <w:tblW w:type="dxa" w:w="9360"/>
        <w:tblBorders>
          <w:top w:val="none"/>
          <w:left w:val="none"/>
          <w:bottom w:val="none"/>
          <w:right w:val="none"/>
          <w:insideH w:val="single" w:color="auto" w:sz="4"/>
          <w:insideV w:val="single" w:color="auto" w:sz="4"/>
        </w:tblBorders>
      </w:tblPr>
      <w:tblGrid>
        <w:gridCol w:w="100"/>
      </w:tblGrid>
      <w:tr>
        <w:tc>
          <w:tcPr>
            <w:tcW w:type="dxa" w:w="9360"/>
            <w:shd w:fill="10163D" w:val="clear"/>
            <w:tcMar>
              <w:top w:type="dxa" w:w="200"/>
              <w:left w:type="dxa" w:w="260"/>
              <w:bottom w:type="dxa" w:w="200"/>
              <w:right w:type="dxa" w:w="260"/>
            </w:tcMar>
          </w:tcPr>
          <w:p>
            <w:pPr>
              <w:spacing w:after="20"/>
            </w:pPr>
            <w:r>
              <w:rPr>
                <w:rFonts w:ascii="Courier New" w:cs="Courier New" w:eastAsia="Courier New" w:hAnsi="Courier New"/>
                <w:color w:val="EAF1FD"/>
                <w:sz w:val="18"/>
                <w:szCs w:val="18"/>
              </w:rPr>
              <w:t xml:space="preserve">agent-kyc-refresh-agent/</w:t>
            </w:r>
          </w:p>
          <w:p>
            <w:pPr>
              <w:spacing w:after="20"/>
            </w:pPr>
            <w:r>
              <w:rPr>
                <w:rFonts w:ascii="Courier New" w:cs="Courier New" w:eastAsia="Courier New" w:hAnsi="Courier New"/>
                <w:color w:val="EAF1FD"/>
                <w:sz w:val="18"/>
                <w:szCs w:val="18"/>
              </w:rPr>
              <w:t xml:space="preserve">  spec/agent.spec.yaml          # copy of the source spec (Stage 5, step 3)</w:t>
            </w:r>
          </w:p>
          <w:p>
            <w:pPr>
              <w:spacing w:after="20"/>
            </w:pPr>
            <w:r>
              <w:rPr>
                <w:rFonts w:ascii="Courier New" w:cs="Courier New" w:eastAsia="Courier New" w:hAnsi="Courier New"/>
                <w:color w:val="EAF1FD"/>
                <w:sz w:val="18"/>
                <w:szCs w:val="18"/>
              </w:rPr>
              <w:t xml:space="preserve">  src/</w:t>
            </w:r>
          </w:p>
          <w:p>
            <w:pPr>
              <w:spacing w:after="20"/>
            </w:pPr>
            <w:r>
              <w:rPr>
                <w:rFonts w:ascii="Courier New" w:cs="Courier New" w:eastAsia="Courier New" w:hAnsi="Courier New"/>
                <w:color w:val="EAF1FD"/>
                <w:sz w:val="18"/>
                <w:szCs w:val="18"/>
              </w:rPr>
              <w:t xml:space="preserve">    tools/</w:t>
            </w:r>
          </w:p>
          <w:p>
            <w:pPr>
              <w:spacing w:after="20"/>
            </w:pPr>
            <w:r>
              <w:rPr>
                <w:rFonts w:ascii="Courier New" w:cs="Courier New" w:eastAsia="Courier New" w:hAnsi="Courier New"/>
                <w:color w:val="EAF1FD"/>
                <w:sz w:val="18"/>
                <w:szCs w:val="18"/>
              </w:rPr>
              <w:t xml:space="preserve">      get_customer_profile.py   # from tools[0]  (Stage 4)</w:t>
            </w:r>
          </w:p>
          <w:p>
            <w:pPr>
              <w:spacing w:after="20"/>
            </w:pPr>
            <w:r>
              <w:rPr>
                <w:rFonts w:ascii="Courier New" w:cs="Courier New" w:eastAsia="Courier New" w:hAnsi="Courier New"/>
                <w:color w:val="EAF1FD"/>
                <w:sz w:val="18"/>
                <w:szCs w:val="18"/>
              </w:rPr>
              <w:t xml:space="preserve">      update_kyc_record.py      # from tools[1]  (Stage 4)</w:t>
            </w:r>
          </w:p>
          <w:p>
            <w:pPr>
              <w:spacing w:after="20"/>
            </w:pPr>
            <w:r>
              <w:rPr>
                <w:rFonts w:ascii="Courier New" w:cs="Courier New" w:eastAsia="Courier New" w:hAnsi="Courier New"/>
                <w:color w:val="EAF1FD"/>
                <w:sz w:val="18"/>
                <w:szCs w:val="18"/>
              </w:rPr>
              <w:t xml:space="preserve">    prompts/</w:t>
            </w:r>
          </w:p>
          <w:p>
            <w:pPr>
              <w:spacing w:after="20"/>
            </w:pPr>
            <w:r>
              <w:rPr>
                <w:rFonts w:ascii="Courier New" w:cs="Courier New" w:eastAsia="Courier New" w:hAnsi="Courier New"/>
                <w:color w:val="EAF1FD"/>
                <w:sz w:val="18"/>
                <w:szCs w:val="18"/>
              </w:rPr>
              <w:t xml:space="preserve">      kyc_refresh.py            # renders promptTemplateRef (Stage 4)</w:t>
            </w:r>
          </w:p>
          <w:p>
            <w:pPr>
              <w:spacing w:after="20"/>
            </w:pPr>
            <w:r>
              <w:rPr>
                <w:rFonts w:ascii="Courier New" w:cs="Courier New" w:eastAsia="Courier New" w:hAnsi="Courier New"/>
                <w:color w:val="EAF1FD"/>
                <w:sz w:val="18"/>
                <w:szCs w:val="18"/>
              </w:rPr>
              <w:t xml:space="preserve">    guardrails/</w:t>
            </w:r>
          </w:p>
          <w:p>
            <w:pPr>
              <w:spacing w:after="20"/>
            </w:pPr>
            <w:r>
              <w:rPr>
                <w:rFonts w:ascii="Courier New" w:cs="Courier New" w:eastAsia="Courier New" w:hAnsi="Courier New"/>
                <w:color w:val="EAF1FD"/>
                <w:sz w:val="18"/>
                <w:szCs w:val="18"/>
              </w:rPr>
              <w:t xml:space="preserve">      policy_hooks.py           # from guardrails (Stage 4)</w:t>
            </w:r>
          </w:p>
          <w:p>
            <w:pPr>
              <w:spacing w:after="20"/>
            </w:pPr>
            <w:r>
              <w:rPr>
                <w:rFonts w:ascii="Courier New" w:cs="Courier New" w:eastAsia="Courier New" w:hAnsi="Courier New"/>
                <w:color w:val="EAF1FD"/>
                <w:sz w:val="18"/>
                <w:szCs w:val="18"/>
              </w:rPr>
              <w:t xml:space="preserve">    memory/</w:t>
            </w:r>
          </w:p>
          <w:p>
            <w:pPr>
              <w:spacing w:after="20"/>
            </w:pPr>
            <w:r>
              <w:rPr>
                <w:rFonts w:ascii="Courier New" w:cs="Courier New" w:eastAsia="Courier New" w:hAnsi="Courier New"/>
                <w:color w:val="EAF1FD"/>
                <w:sz w:val="18"/>
                <w:szCs w:val="18"/>
              </w:rPr>
              <w:t xml:space="preserve">      session_store.py          # from memory (Stage 4)</w:t>
            </w:r>
          </w:p>
          <w:p>
            <w:pPr>
              <w:spacing w:after="20"/>
            </w:pPr>
            <w:r>
              <w:rPr>
                <w:rFonts w:ascii="Courier New" w:cs="Courier New" w:eastAsia="Courier New" w:hAnsi="Courier New"/>
                <w:color w:val="EAF1FD"/>
                <w:sz w:val="18"/>
                <w:szCs w:val="18"/>
              </w:rPr>
              <w:t xml:space="preserve">    handlers/</w:t>
            </w:r>
          </w:p>
          <w:p>
            <w:pPr>
              <w:spacing w:after="20"/>
            </w:pPr>
            <w:r>
              <w:rPr>
                <w:rFonts w:ascii="Courier New" w:cs="Courier New" w:eastAsia="Courier New" w:hAnsi="Courier New"/>
                <w:color w:val="EAF1FD"/>
                <w:sz w:val="18"/>
                <w:szCs w:val="18"/>
              </w:rPr>
              <w:t xml:space="preserve">      summarize_kyc_gaps.py     # from capabilities[0] (Stage 4)</w:t>
            </w:r>
          </w:p>
          <w:p>
            <w:pPr>
              <w:spacing w:after="20"/>
            </w:pPr>
            <w:r>
              <w:rPr>
                <w:rFonts w:ascii="Courier New" w:cs="Courier New" w:eastAsia="Courier New" w:hAnsi="Courier New"/>
                <w:color w:val="EAF1FD"/>
                <w:sz w:val="18"/>
                <w:szCs w:val="18"/>
              </w:rPr>
              <w:t xml:space="preserve">      draft_outreach_note.py    # from capabilities[1] (Stage 4)</w:t>
            </w:r>
          </w:p>
          <w:p>
            <w:pPr>
              <w:spacing w:after="20"/>
            </w:pPr>
            <w:r>
              <w:rPr>
                <w:rFonts w:ascii="Courier New" w:cs="Courier New" w:eastAsia="Courier New" w:hAnsi="Courier New"/>
                <w:color w:val="EAF1FD"/>
                <w:sz w:val="18"/>
                <w:szCs w:val="18"/>
              </w:rPr>
              <w:t xml:space="preserve">  tests/</w:t>
            </w:r>
          </w:p>
          <w:p>
            <w:pPr>
              <w:spacing w:after="20"/>
            </w:pPr>
            <w:r>
              <w:rPr>
                <w:rFonts w:ascii="Courier New" w:cs="Courier New" w:eastAsia="Courier New" w:hAnsi="Courier New"/>
                <w:color w:val="EAF1FD"/>
                <w:sz w:val="18"/>
                <w:szCs w:val="18"/>
              </w:rPr>
              <w:t xml:space="preserve">    unit/                       # generated from tool schemas (Stage 5)</w:t>
            </w:r>
          </w:p>
          <w:p>
            <w:pPr>
              <w:spacing w:after="20"/>
            </w:pPr>
            <w:r>
              <w:rPr>
                <w:rFonts w:ascii="Courier New" w:cs="Courier New" w:eastAsia="Courier New" w:hAnsi="Courier New"/>
                <w:color w:val="EAF1FD"/>
                <w:sz w:val="18"/>
                <w:szCs w:val="18"/>
              </w:rPr>
              <w:t xml:space="preserve">    contract/                   # tool schema vs. live endpoint (Stage 5)</w:t>
            </w:r>
          </w:p>
          <w:p>
            <w:pPr>
              <w:spacing w:after="20"/>
            </w:pPr>
            <w:r>
              <w:rPr>
                <w:rFonts w:ascii="Courier New" w:cs="Courier New" w:eastAsia="Courier New" w:hAnsi="Courier New"/>
                <w:color w:val="EAF1FD"/>
                <w:sz w:val="18"/>
                <w:szCs w:val="18"/>
              </w:rPr>
              <w:t xml:space="preserve">    eval/                       # from observability.evalSuiteRef (Stage 5)</w:t>
            </w:r>
          </w:p>
          <w:p>
            <w:pPr>
              <w:spacing w:after="20"/>
            </w:pPr>
            <w:r>
              <w:rPr>
                <w:rFonts w:ascii="Courier New" w:cs="Courier New" w:eastAsia="Courier New" w:hAnsi="Courier New"/>
                <w:color w:val="EAF1FD"/>
                <w:sz w:val="18"/>
                <w:szCs w:val="18"/>
              </w:rPr>
              <w:t xml:space="preserve">  docs/</w:t>
            </w:r>
          </w:p>
          <w:p>
            <w:pPr>
              <w:spacing w:after="20"/>
            </w:pPr>
            <w:r>
              <w:rPr>
                <w:rFonts w:ascii="Courier New" w:cs="Courier New" w:eastAsia="Courier New" w:hAnsi="Courier New"/>
                <w:color w:val="EAF1FD"/>
                <w:sz w:val="18"/>
                <w:szCs w:val="18"/>
              </w:rPr>
              <w:t xml:space="preserve">    reference.html              # generated live from the IR (Stage 5)</w:t>
            </w:r>
          </w:p>
          <w:p>
            <w:pPr>
              <w:spacing w:after="20"/>
            </w:pPr>
            <w:r>
              <w:rPr>
                <w:rFonts w:ascii="Courier New" w:cs="Courier New" w:eastAsia="Courier New" w:hAnsi="Courier New"/>
                <w:color w:val="EAF1FD"/>
                <w:sz w:val="18"/>
                <w:szCs w:val="18"/>
              </w:rPr>
              <w:t xml:space="preserve">  deploy/</w:t>
            </w:r>
          </w:p>
          <w:p>
            <w:pPr>
              <w:spacing w:after="20"/>
            </w:pPr>
            <w:r>
              <w:rPr>
                <w:rFonts w:ascii="Courier New" w:cs="Courier New" w:eastAsia="Courier New" w:hAnsi="Courier New"/>
                <w:color w:val="EAF1FD"/>
                <w:sz w:val="18"/>
                <w:szCs w:val="18"/>
              </w:rPr>
              <w:t xml:space="preserve">    Dockerfile                  # from deployment.* (Stage 5)</w:t>
            </w:r>
          </w:p>
          <w:p>
            <w:pPr>
              <w:spacing w:after="20"/>
            </w:pPr>
            <w:r>
              <w:rPr>
                <w:rFonts w:ascii="Courier New" w:cs="Courier New" w:eastAsia="Courier New" w:hAnsi="Courier New"/>
                <w:color w:val="EAF1FD"/>
                <w:sz w:val="18"/>
                <w:szCs w:val="18"/>
              </w:rPr>
              <w:t xml:space="preserve">    manifest.yaml               # from deployment.* (Stage 5)</w:t>
            </w:r>
          </w:p>
          <w:p>
            <w:pPr>
              <w:spacing w:after="20"/>
            </w:pPr>
            <w:r>
              <w:rPr>
                <w:rFonts w:ascii="Courier New" w:cs="Courier New" w:eastAsia="Courier New" w:hAnsi="Courier New"/>
                <w:color w:val="EAF1FD"/>
                <w:sz w:val="18"/>
                <w:szCs w:val="18"/>
              </w:rPr>
              <w:t xml:space="preserve">  CHANGELOG.md                  # diffed against the registry (Stage 5)</w:t>
            </w:r>
          </w:p>
        </w:tc>
      </w:tr>
    </w:tbl>
    <w:p>
      <w:pPr>
        <w:pStyle w:val="Heading2"/>
        <w:spacing w:after="160" w:before="340"/>
      </w:pPr>
      <w:r>
        <w:t xml:space="preserve">8.2 Tracing One Spec Through All Five Stages</w:t>
      </w:r>
    </w:p>
    <w:p>
      <w:pPr>
        <w:spacing w:after="180" w:line="276"/>
      </w:pPr>
      <w:r>
        <w:rPr>
          <w:rFonts w:ascii="Calibri" w:cs="Calibri" w:eastAsia="Calibri" w:hAnsi="Calibri"/>
          <w:b w:val="false"/>
          <w:bCs w:val="false"/>
          <w:i w:val="false"/>
          <w:iCs w:val="false"/>
          <w:color w:val="202030"/>
          <w:sz w:val="22"/>
          <w:szCs w:val="22"/>
        </w:rPr>
        <w:t xml:space="preserve">This section follows the example spec from Section 5 through the pipeline, showing what changes at each boundary.</w:t>
      </w:r>
    </w:p>
    <w:p>
      <w:pPr>
        <w:pStyle w:val="Heading3"/>
        <w:spacing w:after="120" w:before="260"/>
      </w:pPr>
      <w:r>
        <w:t xml:space="preserve">Stage 1 — Parser</w:t>
      </w:r>
    </w:p>
    <w:p>
      <w:pPr>
        <w:pStyle w:val="ListParagraph"/>
        <w:numPr>
          <w:ilvl w:val="0"/>
          <w:numId w:val="1"/>
        </w:numPr>
        <w:spacing w:after="90" w:line="264"/>
      </w:pPr>
      <w:r>
        <w:rPr>
          <w:rFonts w:ascii="Calibri" w:cs="Calibri" w:eastAsia="Calibri" w:hAnsi="Calibri"/>
          <w:color w:val="202030"/>
          <w:sz w:val="22"/>
          <w:szCs w:val="22"/>
        </w:rPr>
        <w:t xml:space="preserve">Loads agent.spec.yaml, detects YAML.</w:t>
      </w:r>
    </w:p>
    <w:p>
      <w:pPr>
        <w:pStyle w:val="ListParagraph"/>
        <w:numPr>
          <w:ilvl w:val="0"/>
          <w:numId w:val="1"/>
        </w:numPr>
        <w:spacing w:after="90" w:line="264"/>
      </w:pPr>
      <w:r>
        <w:rPr>
          <w:rFonts w:ascii="Calibri" w:cs="Calibri" w:eastAsia="Calibri" w:hAnsi="Calibri"/>
          <w:color w:val="202030"/>
          <w:sz w:val="22"/>
          <w:szCs w:val="22"/>
        </w:rPr>
        <w:t xml:space="preserve">Resolves the four $ref pointers (schemas/kyc-input.json, schemas/kyc-gap-report.json, schemas/outreach-note.json, schemas/customer-profile.json, schemas/kyc-update.json) by loading each referenced fragment.</w:t>
      </w:r>
    </w:p>
    <w:p>
      <w:pPr>
        <w:pStyle w:val="ListParagraph"/>
        <w:numPr>
          <w:ilvl w:val="0"/>
          <w:numId w:val="1"/>
        </w:numPr>
        <w:spacing w:after="90" w:line="264"/>
      </w:pPr>
      <w:r>
        <w:rPr>
          <w:rFonts w:ascii="Calibri" w:cs="Calibri" w:eastAsia="Calibri" w:hAnsi="Calibri"/>
          <w:color w:val="202030"/>
          <w:sz w:val="22"/>
          <w:szCs w:val="22"/>
        </w:rPr>
        <w:t xml:space="preserve">Produces an AST with InfoNode, two CapabilityNode entries, two ToolNode entries, two DataContractNode entries, and one node each for model, memory, guardrails, auth, humanInLoop, observability, errorHandling, and deployment.</w:t>
      </w:r>
    </w:p>
    <w:p>
      <w:pPr>
        <w:pStyle w:val="Heading3"/>
        <w:spacing w:after="120" w:before="260"/>
      </w:pPr>
      <w:r>
        <w:t xml:space="preserve">Stage 2 — Validator</w:t>
      </w:r>
    </w:p>
    <w:p>
      <w:pPr>
        <w:pStyle w:val="ListParagraph"/>
        <w:numPr>
          <w:ilvl w:val="0"/>
          <w:numId w:val="1"/>
        </w:numPr>
        <w:spacing w:after="90" w:line="264"/>
      </w:pPr>
      <w:r>
        <w:rPr>
          <w:rFonts w:ascii="Calibri" w:cs="Calibri" w:eastAsia="Calibri" w:hAnsi="Calibri"/>
          <w:color w:val="202030"/>
          <w:sz w:val="22"/>
          <w:szCs w:val="22"/>
        </w:rPr>
        <w:t xml:space="preserve">Schema pass: confirms every required field in Section 4 is present and correctly typed — passes.</w:t>
      </w:r>
    </w:p>
    <w:p>
      <w:pPr>
        <w:pStyle w:val="ListParagraph"/>
        <w:numPr>
          <w:ilvl w:val="0"/>
          <w:numId w:val="1"/>
        </w:numPr>
        <w:spacing w:after="90" w:line="264"/>
      </w:pPr>
      <w:r>
        <w:rPr>
          <w:rFonts w:ascii="Calibri" w:cs="Calibri" w:eastAsia="Calibri" w:hAnsi="Calibri"/>
          <w:color w:val="202030"/>
          <w:sz w:val="22"/>
          <w:szCs w:val="22"/>
        </w:rPr>
        <w:t xml:space="preserve">Policy pass, rule “write/irreversible tool requires checkpoints”: update-kyc-record has sideEffects: write, and humanInLoop.checkpoints is non-empty (before_record_update) — passes.</w:t>
      </w:r>
    </w:p>
    <w:p>
      <w:pPr>
        <w:pStyle w:val="ListParagraph"/>
        <w:numPr>
          <w:ilvl w:val="0"/>
          <w:numId w:val="1"/>
        </w:numPr>
        <w:spacing w:after="90" w:line="264"/>
      </w:pPr>
      <w:r>
        <w:rPr>
          <w:rFonts w:ascii="Calibri" w:cs="Calibri" w:eastAsia="Calibri" w:hAnsi="Calibri"/>
          <w:color w:val="202030"/>
          <w:sz w:val="22"/>
          <w:szCs w:val="22"/>
        </w:rPr>
        <w:t xml:space="preserve">Policy pass, rule “PII present requires piiHandling”: both dataContracts entries have piiPresent: true, and guardrails.piiHandling is set to mask — passes.</w:t>
      </w:r>
    </w:p>
    <w:p>
      <w:pPr>
        <w:pStyle w:val="ListParagraph"/>
        <w:numPr>
          <w:ilvl w:val="0"/>
          <w:numId w:val="1"/>
        </w:numPr>
        <w:spacing w:after="90" w:line="264"/>
      </w:pPr>
      <w:r>
        <w:rPr>
          <w:rFonts w:ascii="Calibri" w:cs="Calibri" w:eastAsia="Calibri" w:hAnsi="Calibri"/>
          <w:color w:val="202030"/>
          <w:sz w:val="22"/>
          <w:szCs w:val="22"/>
        </w:rPr>
        <w:t xml:space="preserve">Result: ValidationReport { valid: true, errors: [], warnings: [] }.</w:t>
      </w:r>
    </w:p>
    <w:p>
      <w:pPr>
        <w:pStyle w:val="Heading3"/>
        <w:spacing w:after="120" w:before="260"/>
      </w:pPr>
      <w:r>
        <w:t xml:space="preserve">Stage 3 — IR Builder</w:t>
      </w:r>
    </w:p>
    <w:p>
      <w:pPr>
        <w:pStyle w:val="ListParagraph"/>
        <w:numPr>
          <w:ilvl w:val="0"/>
          <w:numId w:val="1"/>
        </w:numPr>
        <w:spacing w:after="90" w:line="264"/>
      </w:pPr>
      <w:r>
        <w:rPr>
          <w:rFonts w:ascii="Calibri" w:cs="Calibri" w:eastAsia="Calibri" w:hAnsi="Calibri"/>
          <w:color w:val="202030"/>
          <w:sz w:val="22"/>
          <w:szCs w:val="22"/>
        </w:rPr>
        <w:t xml:space="preserve">Inlines all five resolved schema fragments directly into the corresponding CapabilityIR / ToolIR nodes.</w:t>
      </w:r>
    </w:p>
    <w:p>
      <w:pPr>
        <w:pStyle w:val="ListParagraph"/>
        <w:numPr>
          <w:ilvl w:val="0"/>
          <w:numId w:val="1"/>
        </w:numPr>
        <w:spacing w:after="90" w:line="264"/>
      </w:pPr>
      <w:r>
        <w:rPr>
          <w:rFonts w:ascii="Calibri" w:cs="Calibri" w:eastAsia="Calibri" w:hAnsi="Calibri"/>
          <w:color w:val="202030"/>
          <w:sz w:val="22"/>
          <w:szCs w:val="22"/>
        </w:rPr>
        <w:t xml:space="preserve">Computes requiresHumanApproval: true (derived from the write-side-effect tool and non-empty checkpoints).</w:t>
      </w:r>
    </w:p>
    <w:p>
      <w:pPr>
        <w:pStyle w:val="ListParagraph"/>
        <w:numPr>
          <w:ilvl w:val="0"/>
          <w:numId w:val="1"/>
        </w:numPr>
        <w:spacing w:after="90" w:line="264"/>
      </w:pPr>
      <w:r>
        <w:rPr>
          <w:rFonts w:ascii="Calibri" w:cs="Calibri" w:eastAsia="Calibri" w:hAnsi="Calibri"/>
          <w:color w:val="202030"/>
          <w:sz w:val="22"/>
          <w:szCs w:val="22"/>
        </w:rPr>
        <w:t xml:space="preserve">Resolves auth.scopesPerTool into direct links on each ToolIR (get-customer-profile → [kyc:read], update-kyc-record → [kyc:write]).</w:t>
      </w:r>
    </w:p>
    <w:p>
      <w:pPr>
        <w:pStyle w:val="Heading3"/>
        <w:spacing w:after="120" w:before="260"/>
      </w:pPr>
      <w:r>
        <w:t xml:space="preserve">Stage 4 — Template Engine (target: python-service)</w:t>
      </w:r>
    </w:p>
    <w:p>
      <w:pPr>
        <w:pStyle w:val="ListParagraph"/>
        <w:numPr>
          <w:ilvl w:val="0"/>
          <w:numId w:val="1"/>
        </w:numPr>
        <w:spacing w:after="90" w:line="264"/>
      </w:pPr>
      <w:r>
        <w:rPr>
          <w:rFonts w:ascii="Calibri" w:cs="Calibri" w:eastAsia="Calibri" w:hAnsi="Calibri"/>
          <w:color w:val="202030"/>
          <w:sz w:val="22"/>
          <w:szCs w:val="22"/>
        </w:rPr>
        <w:t xml:space="preserve">Iterates the tools collection, rendering tool_binding.py.hbs twice — once per tool — producing get_customer_profile.py and update_kyc_record.py.</w:t>
      </w:r>
    </w:p>
    <w:p>
      <w:pPr>
        <w:pStyle w:val="ListParagraph"/>
        <w:numPr>
          <w:ilvl w:val="0"/>
          <w:numId w:val="1"/>
        </w:numPr>
        <w:spacing w:after="90" w:line="264"/>
      </w:pPr>
      <w:r>
        <w:rPr>
          <w:rFonts w:ascii="Calibri" w:cs="Calibri" w:eastAsia="Calibri" w:hAnsi="Calibri"/>
          <w:color w:val="202030"/>
          <w:sz w:val="22"/>
          <w:szCs w:val="22"/>
        </w:rPr>
        <w:t xml:space="preserve">Iterates the capabilities collection, rendering handler.py.hbs twice, producing summarize_kyc_gaps.py and draft_outreach_note.py.</w:t>
      </w:r>
    </w:p>
    <w:p>
      <w:pPr>
        <w:pStyle w:val="ListParagraph"/>
        <w:numPr>
          <w:ilvl w:val="0"/>
          <w:numId w:val="1"/>
        </w:numPr>
        <w:spacing w:after="90" w:line="264"/>
      </w:pPr>
      <w:r>
        <w:rPr>
          <w:rFonts w:ascii="Calibri" w:cs="Calibri" w:eastAsia="Calibri" w:hAnsi="Calibri"/>
          <w:color w:val="202030"/>
          <w:sz w:val="22"/>
          <w:szCs w:val="22"/>
        </w:rPr>
        <w:t xml:space="preserve">Renders guardrails.py.hbs once against the guardrails IR node, producing policy_hooks.py with the mask PII behavior and the refusal condition wired in.</w:t>
      </w:r>
    </w:p>
    <w:p>
      <w:pPr>
        <w:pStyle w:val="Heading3"/>
        <w:spacing w:after="120" w:before="260"/>
      </w:pPr>
      <w:r>
        <w:t xml:space="preserve">Stage 5 — Output Packager</w:t>
      </w:r>
    </w:p>
    <w:p>
      <w:pPr>
        <w:pStyle w:val="ListParagraph"/>
        <w:numPr>
          <w:ilvl w:val="0"/>
          <w:numId w:val="1"/>
        </w:numPr>
        <w:spacing w:after="90" w:line="264"/>
      </w:pPr>
      <w:r>
        <w:rPr>
          <w:rFonts w:ascii="Calibri" w:cs="Calibri" w:eastAsia="Calibri" w:hAnsi="Calibri"/>
          <w:color w:val="202030"/>
          <w:sz w:val="22"/>
          <w:szCs w:val="22"/>
        </w:rPr>
        <w:t xml:space="preserve">Writes all rendered files from Stage 4 to agent-kyc-refresh-agent/src/.</w:t>
      </w:r>
    </w:p>
    <w:p>
      <w:pPr>
        <w:pStyle w:val="ListParagraph"/>
        <w:numPr>
          <w:ilvl w:val="0"/>
          <w:numId w:val="1"/>
        </w:numPr>
        <w:spacing w:after="90" w:line="264"/>
      </w:pPr>
      <w:r>
        <w:rPr>
          <w:rFonts w:ascii="Calibri" w:cs="Calibri" w:eastAsia="Calibri" w:hAnsi="Calibri"/>
          <w:color w:val="202030"/>
          <w:sz w:val="22"/>
          <w:szCs w:val="22"/>
        </w:rPr>
        <w:t xml:space="preserve">Generates docs/reference.html directly from the IR — including a documented before_record_update approval checkpoint, sourced from humanInLoop.</w:t>
      </w:r>
    </w:p>
    <w:p>
      <w:pPr>
        <w:pStyle w:val="ListParagraph"/>
        <w:numPr>
          <w:ilvl w:val="0"/>
          <w:numId w:val="1"/>
        </w:numPr>
        <w:spacing w:after="90" w:line="264"/>
      </w:pPr>
      <w:r>
        <w:rPr>
          <w:rFonts w:ascii="Calibri" w:cs="Calibri" w:eastAsia="Calibri" w:hAnsi="Calibri"/>
          <w:color w:val="202030"/>
          <w:sz w:val="22"/>
          <w:szCs w:val="22"/>
        </w:rPr>
        <w:t xml:space="preserve">Generates tests/eval/ from observability.evalSuiteRef (evals/kyc-refresh-agent.yaml).</w:t>
      </w:r>
    </w:p>
    <w:p>
      <w:pPr>
        <w:pStyle w:val="ListParagraph"/>
        <w:numPr>
          <w:ilvl w:val="0"/>
          <w:numId w:val="1"/>
        </w:numPr>
        <w:spacing w:after="90" w:line="264"/>
      </w:pPr>
      <w:r>
        <w:rPr>
          <w:rFonts w:ascii="Calibri" w:cs="Calibri" w:eastAsia="Calibri" w:hAnsi="Calibri"/>
          <w:color w:val="202030"/>
          <w:sz w:val="22"/>
          <w:szCs w:val="22"/>
        </w:rPr>
        <w:t xml:space="preserve">Generates deploy/manifest.yaml with a canary rollout across dev, staging, production, per deployment.*.</w:t>
      </w:r>
    </w:p>
    <w:p>
      <w:pPr>
        <w:pStyle w:val="ListParagraph"/>
        <w:numPr>
          <w:ilvl w:val="0"/>
          <w:numId w:val="1"/>
        </w:numPr>
        <w:spacing w:after="90" w:line="264"/>
      </w:pPr>
      <w:r>
        <w:rPr>
          <w:rFonts w:ascii="Calibri" w:cs="Calibri" w:eastAsia="Calibri" w:hAnsi="Calibri"/>
          <w:color w:val="202030"/>
          <w:sz w:val="22"/>
          <w:szCs w:val="22"/>
        </w:rPr>
        <w:t xml:space="preserve">Writes CHANGELOG.md, recording the move from the previously registered version to 1.2.0.</w:t>
      </w:r>
    </w:p>
    <w:p>
      <w:r>
        <w:br w:type="page"/>
      </w:r>
    </w:p>
    <w:p>
      <w:pPr>
        <w:pStyle w:val="Heading1"/>
        <w:spacing w:after="200" w:before="480"/>
      </w:pPr>
      <w:r>
        <w:t xml:space="preserve">9. Testing &amp; Validation Strategy</w:t>
      </w:r>
    </w:p>
    <w:p>
      <w:pPr>
        <w:spacing w:after="180" w:line="276"/>
      </w:pPr>
      <w:r>
        <w:rPr>
          <w:rFonts w:ascii="Calibri" w:cs="Calibri" w:eastAsia="Calibri" w:hAnsi="Calibri"/>
          <w:b w:val="false"/>
          <w:bCs w:val="false"/>
          <w:i w:val="false"/>
          <w:iCs w:val="false"/>
          <w:color w:val="202030"/>
          <w:sz w:val="22"/>
          <w:szCs w:val="22"/>
        </w:rPr>
        <w:t xml:space="preserve">Every spec, and every agent generated from it, passes the same set of gates regardless of team or business line. The table below states what each gate checks, when it runs, and which pipeline stage (or post-generation step) is responsible for it.</w:t>
      </w:r>
    </w:p>
    <w:tbl>
      <w:tblPr>
        <w:tblW w:type="dxa" w:w="9360"/>
        <w:tblBorders>
          <w:top w:val="single" w:color="B9C6E3" w:sz="2"/>
          <w:left w:val="single" w:color="B9C6E3" w:sz="2"/>
          <w:bottom w:val="single" w:color="B9C6E3" w:sz="2"/>
          <w:right w:val="single" w:color="B9C6E3" w:sz="2"/>
          <w:insideH w:val="single" w:color="B9C6E3" w:sz="2"/>
          <w:insideV w:val="single" w:color="B9C6E3" w:sz="2"/>
        </w:tblBorders>
      </w:tblPr>
      <w:tblGrid>
        <w:gridCol w:w="2400"/>
        <w:gridCol w:w="6960"/>
      </w:tblGrid>
      <w:tr>
        <w:tc>
          <w:tcPr>
            <w:tcW w:type="dxa" w:w="24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Schema validation</w:t>
            </w:r>
          </w:p>
        </w:tc>
        <w:tc>
          <w:tcPr>
            <w:tcW w:type="dxa" w:w="6960"/>
            <w:shd w:fill="FFFFFF" w:val="clear"/>
            <w:tcMar>
              <w:top w:type="dxa" w:w="90"/>
              <w:left w:type="dxa" w:w="120"/>
              <w:bottom w:type="dxa" w:w="90"/>
              <w:right w:type="dxa" w:w="120"/>
            </w:tcMar>
          </w:tcPr>
          <w:p>
            <w:r>
              <w:rPr>
                <w:rFonts w:ascii="Calibri" w:cs="Calibri" w:eastAsia="Calibri" w:hAnsi="Calibri"/>
                <w:color w:val="3B4256"/>
                <w:sz w:val="19"/>
                <w:szCs w:val="19"/>
              </w:rPr>
              <w:t xml:space="preserve">Stage 2 (spec authoring / CI) — The spec is structurally valid against the JSON Schema in Appendix A.</w:t>
            </w:r>
          </w:p>
        </w:tc>
      </w:tr>
      <w:tr>
        <w:tc>
          <w:tcPr>
            <w:tcW w:type="dxa" w:w="2400"/>
            <w:shd w:fill="EAF1FD" w:val="clear"/>
            <w:tcMar>
              <w:top w:type="dxa" w:w="90"/>
              <w:left w:type="dxa" w:w="120"/>
              <w:bottom w:type="dxa" w:w="90"/>
              <w:right w:type="dxa" w:w="120"/>
            </w:tcMar>
          </w:tcPr>
          <w:p>
            <w:r>
              <w:rPr>
                <w:rFonts w:ascii="Calibri" w:cs="Calibri" w:eastAsia="Calibri" w:hAnsi="Calibri"/>
                <w:b/>
                <w:bCs/>
                <w:color w:val="141B4D"/>
                <w:sz w:val="19"/>
                <w:szCs w:val="19"/>
              </w:rPr>
              <w:t xml:space="preserve">Policy validation</w:t>
            </w:r>
          </w:p>
        </w:tc>
        <w:tc>
          <w:tcPr>
            <w:tcW w:type="dxa" w:w="6960"/>
            <w:shd w:fill="EAF1FD" w:val="clear"/>
            <w:tcMar>
              <w:top w:type="dxa" w:w="90"/>
              <w:left w:type="dxa" w:w="120"/>
              <w:bottom w:type="dxa" w:w="90"/>
              <w:right w:type="dxa" w:w="120"/>
            </w:tcMar>
          </w:tcPr>
          <w:p>
            <w:r>
              <w:rPr>
                <w:rFonts w:ascii="Calibri" w:cs="Calibri" w:eastAsia="Calibri" w:hAnsi="Calibri"/>
                <w:color w:val="3B4256"/>
                <w:sz w:val="19"/>
                <w:szCs w:val="19"/>
              </w:rPr>
              <w:t xml:space="preserve">Stage 2 (spec authoring / CI) — The spec complies with the cross-field business/compliance rules in Section 7.2.</w:t>
            </w:r>
          </w:p>
        </w:tc>
      </w:tr>
      <w:tr>
        <w:tc>
          <w:tcPr>
            <w:tcW w:type="dxa" w:w="24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Contract tests</w:t>
            </w:r>
          </w:p>
        </w:tc>
        <w:tc>
          <w:tcPr>
            <w:tcW w:type="dxa" w:w="6960"/>
            <w:shd w:fill="FFFFFF" w:val="clear"/>
            <w:tcMar>
              <w:top w:type="dxa" w:w="90"/>
              <w:left w:type="dxa" w:w="120"/>
              <w:bottom w:type="dxa" w:w="90"/>
              <w:right w:type="dxa" w:w="120"/>
            </w:tcMar>
          </w:tcPr>
          <w:p>
            <w:r>
              <w:rPr>
                <w:rFonts w:ascii="Calibri" w:cs="Calibri" w:eastAsia="Calibri" w:hAnsi="Calibri"/>
                <w:color w:val="3B4256"/>
                <w:sz w:val="19"/>
                <w:szCs w:val="19"/>
              </w:rPr>
              <w:t xml:space="preserve">Post-generation, pre-deploy — Each declared tool schema (Section 4.3) matches the behavior of its live endpoint.</w:t>
            </w:r>
          </w:p>
        </w:tc>
      </w:tr>
      <w:tr>
        <w:tc>
          <w:tcPr>
            <w:tcW w:type="dxa" w:w="2400"/>
            <w:shd w:fill="EAF1FD" w:val="clear"/>
            <w:tcMar>
              <w:top w:type="dxa" w:w="90"/>
              <w:left w:type="dxa" w:w="120"/>
              <w:bottom w:type="dxa" w:w="90"/>
              <w:right w:type="dxa" w:w="120"/>
            </w:tcMar>
          </w:tcPr>
          <w:p>
            <w:r>
              <w:rPr>
                <w:rFonts w:ascii="Calibri" w:cs="Calibri" w:eastAsia="Calibri" w:hAnsi="Calibri"/>
                <w:b/>
                <w:bCs/>
                <w:color w:val="141B4D"/>
                <w:sz w:val="19"/>
                <w:szCs w:val="19"/>
              </w:rPr>
              <w:t xml:space="preserve">Golden-file tests</w:t>
            </w:r>
          </w:p>
        </w:tc>
        <w:tc>
          <w:tcPr>
            <w:tcW w:type="dxa" w:w="6960"/>
            <w:shd w:fill="EAF1FD" w:val="clear"/>
            <w:tcMar>
              <w:top w:type="dxa" w:w="90"/>
              <w:left w:type="dxa" w:w="120"/>
              <w:bottom w:type="dxa" w:w="90"/>
              <w:right w:type="dxa" w:w="120"/>
            </w:tcMar>
          </w:tcPr>
          <w:p>
            <w:r>
              <w:rPr>
                <w:rFonts w:ascii="Calibri" w:cs="Calibri" w:eastAsia="Calibri" w:hAnsi="Calibri"/>
                <w:color w:val="3B4256"/>
                <w:sz w:val="19"/>
                <w:szCs w:val="19"/>
              </w:rPr>
              <w:t xml:space="preserve">Post-generation, pre-deploy — Generated code is diffed against an approved snapshot, to catch unintended changes in the generator itself.</w:t>
            </w:r>
          </w:p>
        </w:tc>
      </w:tr>
      <w:tr>
        <w:tc>
          <w:tcPr>
            <w:tcW w:type="dxa" w:w="2400"/>
            <w:shd w:fill="FFFFFF" w:val="clear"/>
            <w:tcMar>
              <w:top w:type="dxa" w:w="90"/>
              <w:left w:type="dxa" w:w="120"/>
              <w:bottom w:type="dxa" w:w="90"/>
              <w:right w:type="dxa" w:w="120"/>
            </w:tcMar>
          </w:tcPr>
          <w:p>
            <w:r>
              <w:rPr>
                <w:rFonts w:ascii="Calibri" w:cs="Calibri" w:eastAsia="Calibri" w:hAnsi="Calibri"/>
                <w:b/>
                <w:bCs/>
                <w:color w:val="141B4D"/>
                <w:sz w:val="19"/>
                <w:szCs w:val="19"/>
              </w:rPr>
              <w:t xml:space="preserve">Behavioral eval suite</w:t>
            </w:r>
          </w:p>
        </w:tc>
        <w:tc>
          <w:tcPr>
            <w:tcW w:type="dxa" w:w="6960"/>
            <w:shd w:fill="FFFFFF" w:val="clear"/>
            <w:tcMar>
              <w:top w:type="dxa" w:w="90"/>
              <w:left w:type="dxa" w:w="120"/>
              <w:bottom w:type="dxa" w:w="90"/>
              <w:right w:type="dxa" w:w="120"/>
            </w:tcMar>
          </w:tcPr>
          <w:p>
            <w:r>
              <w:rPr>
                <w:rFonts w:ascii="Calibri" w:cs="Calibri" w:eastAsia="Calibri" w:hAnsi="Calibri"/>
                <w:color w:val="3B4256"/>
                <w:sz w:val="19"/>
                <w:szCs w:val="19"/>
              </w:rPr>
              <w:t xml:space="preserve">Pre-production promotion — The agent is scored against the scenarios in observability.evalSuiteRef for each declared capability.</w:t>
            </w:r>
          </w:p>
        </w:tc>
      </w:tr>
      <w:tr>
        <w:tc>
          <w:tcPr>
            <w:tcW w:type="dxa" w:w="2400"/>
            <w:shd w:fill="EAF1FD" w:val="clear"/>
            <w:tcMar>
              <w:top w:type="dxa" w:w="90"/>
              <w:left w:type="dxa" w:w="120"/>
              <w:bottom w:type="dxa" w:w="90"/>
              <w:right w:type="dxa" w:w="120"/>
            </w:tcMar>
          </w:tcPr>
          <w:p>
            <w:r>
              <w:rPr>
                <w:rFonts w:ascii="Calibri" w:cs="Calibri" w:eastAsia="Calibri" w:hAnsi="Calibri"/>
                <w:b/>
                <w:bCs/>
                <w:color w:val="141B4D"/>
                <w:sz w:val="19"/>
                <w:szCs w:val="19"/>
              </w:rPr>
              <w:t xml:space="preserve">Guardrail enforcement tests</w:t>
            </w:r>
          </w:p>
        </w:tc>
        <w:tc>
          <w:tcPr>
            <w:tcW w:type="dxa" w:w="6960"/>
            <w:shd w:fill="EAF1FD" w:val="clear"/>
            <w:tcMar>
              <w:top w:type="dxa" w:w="90"/>
              <w:left w:type="dxa" w:w="120"/>
              <w:bottom w:type="dxa" w:w="90"/>
              <w:right w:type="dxa" w:w="120"/>
            </w:tcMar>
          </w:tcPr>
          <w:p>
            <w:r>
              <w:rPr>
                <w:rFonts w:ascii="Calibri" w:cs="Calibri" w:eastAsia="Calibri" w:hAnsi="Calibri"/>
                <w:color w:val="3B4256"/>
                <w:sz w:val="19"/>
                <w:szCs w:val="19"/>
              </w:rPr>
              <w:t xml:space="preserve">Pre-production promotion — Adversarial prompts confirm refusalConditions and maxAutonomySteps hold at runtime, not just in the spec.</w:t>
            </w:r>
          </w:p>
        </w:tc>
      </w:tr>
    </w:tbl>
    <w:p>
      <w:pPr>
        <w:spacing w:after="200"/>
      </w:pPr>
    </w:p>
    <w:p>
      <w:pPr>
        <w:pStyle w:val="Heading2"/>
        <w:spacing w:after="160" w:before="340"/>
      </w:pPr>
      <w:r>
        <w:t xml:space="preserve">9.1 Golden-File Testing in Practice</w:t>
      </w:r>
    </w:p>
    <w:p>
      <w:pPr>
        <w:spacing w:after="180" w:line="276"/>
      </w:pPr>
      <w:r>
        <w:rPr>
          <w:rFonts w:ascii="Calibri" w:cs="Calibri" w:eastAsia="Calibri" w:hAnsi="Calibri"/>
          <w:b w:val="false"/>
          <w:bCs w:val="false"/>
          <w:i w:val="false"/>
          <w:iCs w:val="false"/>
          <w:color w:val="202030"/>
          <w:sz w:val="22"/>
          <w:szCs w:val="22"/>
        </w:rPr>
        <w:t xml:space="preserve">Golden-file (snapshot) tests exist specifically to catch regressions in the generator, not the spec. The practice: for a small set of representative specs (including the Section 5 example), the exact generated output is committed to the generator's own test suite. Any change to a template or to the IR Builder that alters generated output for one of these fixed specs fails CI until the change is reviewed and the snapshot is deliberately updated. This is what makes it safe to evolve templates without silently changing what every existing agent generates.</w:t>
      </w:r>
    </w:p>
    <w:p>
      <w:r>
        <w:br w:type="page"/>
      </w:r>
    </w:p>
    <w:p>
      <w:pPr>
        <w:pStyle w:val="Heading1"/>
        <w:spacing w:after="200" w:before="480"/>
      </w:pPr>
      <w:r>
        <w:t xml:space="preserve">10. Build Plan — Getting Started</w:t>
      </w:r>
    </w:p>
    <w:p>
      <w:pPr>
        <w:spacing w:after="180" w:line="276"/>
      </w:pPr>
      <w:r>
        <w:rPr>
          <w:rFonts w:ascii="Calibri" w:cs="Calibri" w:eastAsia="Calibri" w:hAnsi="Calibri"/>
          <w:b w:val="false"/>
          <w:bCs w:val="false"/>
          <w:i w:val="false"/>
          <w:iCs w:val="false"/>
          <w:color w:val="202030"/>
          <w:sz w:val="22"/>
          <w:szCs w:val="22"/>
        </w:rPr>
        <w:t xml:space="preserve">A practical build order for an engineering team starting from zero. Each step produces something runnable and testable before the next begins.</w:t>
      </w:r>
    </w:p>
    <w:p>
      <w:pPr>
        <w:spacing w:after="100" w:line="264"/>
        <w:ind w:left="360" w:hanging="360"/>
      </w:pPr>
      <w:r>
        <w:rPr>
          <w:rFonts w:ascii="Calibri" w:cs="Calibri" w:eastAsia="Calibri" w:hAnsi="Calibri"/>
          <w:b/>
          <w:bCs/>
          <w:color w:val="1E2761"/>
          <w:sz w:val="22"/>
          <w:szCs w:val="22"/>
        </w:rPr>
        <w:t xml:space="preserve">1.  </w:t>
      </w:r>
      <w:r>
        <w:rPr>
          <w:rFonts w:ascii="Calibri" w:cs="Calibri" w:eastAsia="Calibri" w:hAnsi="Calibri"/>
          <w:color w:val="202030"/>
          <w:sz w:val="22"/>
          <w:szCs w:val="22"/>
        </w:rPr>
        <w:t xml:space="preserve">Publish the JSON Schema (Appendix A) and stand up a standalone schema validator as a CLI command (validate-spec agent.spec.yaml). This alone gives spec authors immediate feedback and is useful before any codegen exists.</w:t>
      </w:r>
    </w:p>
    <w:p>
      <w:pPr>
        <w:spacing w:after="100" w:line="264"/>
        <w:ind w:left="360" w:hanging="360"/>
      </w:pPr>
      <w:r>
        <w:rPr>
          <w:rFonts w:ascii="Calibri" w:cs="Calibri" w:eastAsia="Calibri" w:hAnsi="Calibri"/>
          <w:b/>
          <w:bCs/>
          <w:color w:val="1E2761"/>
          <w:sz w:val="22"/>
          <w:szCs w:val="22"/>
        </w:rPr>
        <w:t xml:space="preserve">2.  </w:t>
      </w:r>
      <w:r>
        <w:rPr>
          <w:rFonts w:ascii="Calibri" w:cs="Calibri" w:eastAsia="Calibri" w:hAnsi="Calibri"/>
          <w:color w:val="202030"/>
          <w:sz w:val="22"/>
          <w:szCs w:val="22"/>
        </w:rPr>
        <w:t xml:space="preserve">Implement the Parser (Section 7.1): file loading, $ref resolution, typed AST construction, with unit tests covering at least one spec per top-level section.</w:t>
      </w:r>
    </w:p>
    <w:p>
      <w:pPr>
        <w:spacing w:after="100" w:line="264"/>
        <w:ind w:left="360" w:hanging="360"/>
      </w:pPr>
      <w:r>
        <w:rPr>
          <w:rFonts w:ascii="Calibri" w:cs="Calibri" w:eastAsia="Calibri" w:hAnsi="Calibri"/>
          <w:b/>
          <w:bCs/>
          <w:color w:val="1E2761"/>
          <w:sz w:val="22"/>
          <w:szCs w:val="22"/>
        </w:rPr>
        <w:t xml:space="preserve">3.  </w:t>
      </w:r>
      <w:r>
        <w:rPr>
          <w:rFonts w:ascii="Calibri" w:cs="Calibri" w:eastAsia="Calibri" w:hAnsi="Calibri"/>
          <w:color w:val="202030"/>
          <w:sz w:val="22"/>
          <w:szCs w:val="22"/>
        </w:rPr>
        <w:t xml:space="preserve">Implement the policy-validation pass (Section 7.2b) as a small library of independently testable predicate functions, starting with the five representative rules listed in this document.</w:t>
      </w:r>
    </w:p>
    <w:p>
      <w:pPr>
        <w:spacing w:after="100" w:line="264"/>
        <w:ind w:left="360" w:hanging="360"/>
      </w:pPr>
      <w:r>
        <w:rPr>
          <w:rFonts w:ascii="Calibri" w:cs="Calibri" w:eastAsia="Calibri" w:hAnsi="Calibri"/>
          <w:b/>
          <w:bCs/>
          <w:color w:val="1E2761"/>
          <w:sz w:val="22"/>
          <w:szCs w:val="22"/>
        </w:rPr>
        <w:t xml:space="preserve">4.  </w:t>
      </w:r>
      <w:r>
        <w:rPr>
          <w:rFonts w:ascii="Calibri" w:cs="Calibri" w:eastAsia="Calibri" w:hAnsi="Calibri"/>
          <w:color w:val="202030"/>
          <w:sz w:val="22"/>
          <w:szCs w:val="22"/>
        </w:rPr>
        <w:t xml:space="preserve">Implement the IR Builder (Section 7.3) and its derived fields, with a snapshot test that serializes the IR for the Section 5 example spec.</w:t>
      </w:r>
    </w:p>
    <w:p>
      <w:pPr>
        <w:spacing w:after="100" w:line="264"/>
        <w:ind w:left="360" w:hanging="360"/>
      </w:pPr>
      <w:r>
        <w:rPr>
          <w:rFonts w:ascii="Calibri" w:cs="Calibri" w:eastAsia="Calibri" w:hAnsi="Calibri"/>
          <w:b/>
          <w:bCs/>
          <w:color w:val="1E2761"/>
          <w:sz w:val="22"/>
          <w:szCs w:val="22"/>
        </w:rPr>
        <w:t xml:space="preserve">5.  </w:t>
      </w:r>
      <w:r>
        <w:rPr>
          <w:rFonts w:ascii="Calibri" w:cs="Calibri" w:eastAsia="Calibri" w:hAnsi="Calibri"/>
          <w:color w:val="202030"/>
          <w:sz w:val="22"/>
          <w:szCs w:val="22"/>
        </w:rPr>
        <w:t xml:space="preserve">Build one target adapter end-to-end (Section 7.4 and 7.6) — recommend starting with the simplest target the pilot use case needs — before building a second, to prove the adapter interface is sufficient without over-generalizing prematurely.</w:t>
      </w:r>
    </w:p>
    <w:p>
      <w:pPr>
        <w:spacing w:after="100" w:line="264"/>
        <w:ind w:left="360" w:hanging="360"/>
      </w:pPr>
      <w:r>
        <w:rPr>
          <w:rFonts w:ascii="Calibri" w:cs="Calibri" w:eastAsia="Calibri" w:hAnsi="Calibri"/>
          <w:b/>
          <w:bCs/>
          <w:color w:val="1E2761"/>
          <w:sz w:val="22"/>
          <w:szCs w:val="22"/>
        </w:rPr>
        <w:t xml:space="preserve">6.  </w:t>
      </w:r>
      <w:r>
        <w:rPr>
          <w:rFonts w:ascii="Calibri" w:cs="Calibri" w:eastAsia="Calibri" w:hAnsi="Calibri"/>
          <w:color w:val="202030"/>
          <w:sz w:val="22"/>
          <w:szCs w:val="22"/>
        </w:rPr>
        <w:t xml:space="preserve">Implement the Output Packager (Section 7.5), including the data-driven documentation generator and deployment manifest templates.</w:t>
      </w:r>
    </w:p>
    <w:p>
      <w:pPr>
        <w:spacing w:after="100" w:line="264"/>
        <w:ind w:left="360" w:hanging="360"/>
      </w:pPr>
      <w:r>
        <w:rPr>
          <w:rFonts w:ascii="Calibri" w:cs="Calibri" w:eastAsia="Calibri" w:hAnsi="Calibri"/>
          <w:b/>
          <w:bCs/>
          <w:color w:val="1E2761"/>
          <w:sz w:val="22"/>
          <w:szCs w:val="22"/>
        </w:rPr>
        <w:t xml:space="preserve">7.  </w:t>
      </w:r>
      <w:r>
        <w:rPr>
          <w:rFonts w:ascii="Calibri" w:cs="Calibri" w:eastAsia="Calibri" w:hAnsi="Calibri"/>
          <w:color w:val="202030"/>
          <w:sz w:val="22"/>
          <w:szCs w:val="22"/>
        </w:rPr>
        <w:t xml:space="preserve">Wire the full pipeline into CI as a required check (Stage 2 gates the merge; Stages 3–5 run on merge to produce the artifact).</w:t>
      </w:r>
    </w:p>
    <w:p>
      <w:pPr>
        <w:spacing w:after="100" w:line="264"/>
        <w:ind w:left="360" w:hanging="360"/>
      </w:pPr>
      <w:r>
        <w:rPr>
          <w:rFonts w:ascii="Calibri" w:cs="Calibri" w:eastAsia="Calibri" w:hAnsi="Calibri"/>
          <w:b/>
          <w:bCs/>
          <w:color w:val="1E2761"/>
          <w:sz w:val="22"/>
          <w:szCs w:val="22"/>
        </w:rPr>
        <w:t xml:space="preserve">8.  </w:t>
      </w:r>
      <w:r>
        <w:rPr>
          <w:rFonts w:ascii="Calibri" w:cs="Calibri" w:eastAsia="Calibri" w:hAnsi="Calibri"/>
          <w:color w:val="202030"/>
          <w:sz w:val="22"/>
          <w:szCs w:val="22"/>
        </w:rPr>
        <w:t xml:space="preserve">Select one to two pilot agents (see the companion design deck, Section 18) and generate them end-to-end, using the walkthrough in Section 8.2 of this document as the acceptance pattern to reproduce.</w:t>
      </w:r>
    </w:p>
    <w:p>
      <w:pPr>
        <w:spacing w:after="200"/>
      </w:pPr>
    </w:p>
    <w:tbl>
      <w:tblPr>
        <w:tblW w:type="dxa" w:w="9360"/>
        <w:tblBorders>
          <w:top w:val="single" w:color="1E2761" w:sz="4"/>
          <w:left w:val="single" w:color="1E2761" w:sz="4"/>
          <w:bottom w:val="single" w:color="1E2761" w:sz="4"/>
          <w:right w:val="single" w:color="1E2761" w:sz="4"/>
          <w:insideH w:val="single" w:color="auto" w:sz="4"/>
          <w:insideV w:val="single" w:color="auto" w:sz="4"/>
        </w:tblBorders>
      </w:tblPr>
      <w:tblGrid>
        <w:gridCol w:w="100"/>
      </w:tblGrid>
      <w:tr>
        <w:tc>
          <w:tcPr>
            <w:tcW w:type="dxa" w:w="9360"/>
            <w:shd w:fill="EAF1FD" w:val="clear"/>
            <w:tcMar>
              <w:top w:type="dxa" w:w="160"/>
              <w:left w:type="dxa" w:w="200"/>
              <w:bottom w:type="dxa" w:w="160"/>
              <w:right w:type="dxa" w:w="200"/>
            </w:tcMar>
          </w:tcPr>
          <w:p>
            <w:r>
              <w:rPr>
                <w:rFonts w:ascii="Calibri" w:cs="Calibri" w:eastAsia="Calibri" w:hAnsi="Calibri"/>
                <w:i/>
                <w:iCs/>
                <w:color w:val="141B4D"/>
                <w:sz w:val="21"/>
                <w:szCs w:val="21"/>
              </w:rPr>
              <w:t xml:space="preserve">This document and the companion design deck (AI Agent Specification — Design Document) are intended to be read together: the deck carries the architecture, governance, and execution-roadmap view; this document carries the field-level schema and stage-level implementation detail an engineer needs to start building.</w:t>
            </w:r>
          </w:p>
        </w:tc>
      </w:tr>
    </w:tbl>
    <w:p>
      <w:r>
        <w:br w:type="page"/>
      </w:r>
    </w:p>
    <w:p>
      <w:pPr>
        <w:pStyle w:val="Heading1"/>
        <w:spacing w:after="200" w:before="480"/>
      </w:pPr>
      <w:r>
        <w:t xml:space="preserve">Appendix A — Formal JSON Schema</w:t>
      </w:r>
    </w:p>
    <w:p>
      <w:pPr>
        <w:spacing w:after="180" w:line="276"/>
      </w:pPr>
      <w:r>
        <w:rPr>
          <w:rFonts w:ascii="Calibri" w:cs="Calibri" w:eastAsia="Calibri" w:hAnsi="Calibri"/>
          <w:b w:val="false"/>
          <w:bCs w:val="false"/>
          <w:i w:val="false"/>
          <w:iCs w:val="false"/>
          <w:color w:val="202030"/>
          <w:sz w:val="22"/>
          <w:szCs w:val="22"/>
        </w:rPr>
        <w:t xml:space="preserve">This is the JSON Schema (2020-12) the Validator's schema pass (Section 7.2a) runs against. It is the machine-checkable expression of every field table in Section 4. The cross-field policy rules in Section 7.2b are enforced separately and are not — and cannot be fully — expressed here.</w:t>
      </w:r>
    </w:p>
    <w:tbl>
      <w:tblPr>
        <w:tblW w:type="dxa" w:w="9360"/>
        <w:tblBorders>
          <w:top w:val="none"/>
          <w:left w:val="none"/>
          <w:bottom w:val="none"/>
          <w:right w:val="none"/>
          <w:insideH w:val="single" w:color="auto" w:sz="4"/>
          <w:insideV w:val="single" w:color="auto" w:sz="4"/>
        </w:tblBorders>
      </w:tblPr>
      <w:tblGrid>
        <w:gridCol w:w="100"/>
      </w:tblGrid>
      <w:tr>
        <w:tc>
          <w:tcPr>
            <w:tcW w:type="dxa" w:w="9360"/>
            <w:shd w:fill="10163D" w:val="clear"/>
            <w:tcMar>
              <w:top w:type="dxa" w:w="200"/>
              <w:left w:type="dxa" w:w="260"/>
              <w:bottom w:type="dxa" w:w="200"/>
              <w:right w:type="dxa" w:w="260"/>
            </w:tcMar>
          </w:tcPr>
          <w:p>
            <w:pPr>
              <w:spacing w:after="20"/>
            </w:pPr>
            <w:r>
              <w:rPr>
                <w:rFonts w:ascii="Courier New" w:cs="Courier New" w:eastAsia="Courier New" w:hAnsi="Courier New"/>
                <w:color w:val="EAF1FD"/>
                <w:sz w:val="18"/>
                <w:szCs w:val="18"/>
              </w:rPr>
              <w:t xml:space="preserve">{</w:t>
            </w:r>
          </w:p>
          <w:p>
            <w:pPr>
              <w:spacing w:after="20"/>
            </w:pPr>
            <w:r>
              <w:rPr>
                <w:rFonts w:ascii="Courier New" w:cs="Courier New" w:eastAsia="Courier New" w:hAnsi="Courier New"/>
                <w:color w:val="EAF1FD"/>
                <w:sz w:val="18"/>
                <w:szCs w:val="18"/>
              </w:rPr>
              <w:t xml:space="preserve">  "$schema": "https://json-schema.org/draft/2020-12/schema",</w:t>
            </w:r>
          </w:p>
          <w:p>
            <w:pPr>
              <w:spacing w:after="20"/>
            </w:pPr>
            <w:r>
              <w:rPr>
                <w:rFonts w:ascii="Courier New" w:cs="Courier New" w:eastAsia="Courier New" w:hAnsi="Courier New"/>
                <w:color w:val="EAF1FD"/>
                <w:sz w:val="18"/>
                <w:szCs w:val="18"/>
              </w:rPr>
              <w:t xml:space="preserve">  "$id": "https://internal/schemas/agent-spec-0.1.json",</w:t>
            </w:r>
          </w:p>
          <w:p>
            <w:pPr>
              <w:spacing w:after="20"/>
            </w:pPr>
            <w:r>
              <w:rPr>
                <w:rFonts w:ascii="Courier New" w:cs="Courier New" w:eastAsia="Courier New" w:hAnsi="Courier New"/>
                <w:color w:val="EAF1FD"/>
                <w:sz w:val="18"/>
                <w:szCs w:val="18"/>
              </w:rPr>
              <w:t xml:space="preserve">  "title": "AgentSpec",</w:t>
            </w:r>
          </w:p>
          <w:p>
            <w:pPr>
              <w:spacing w:after="20"/>
            </w:pPr>
            <w:r>
              <w:rPr>
                <w:rFonts w:ascii="Courier New" w:cs="Courier New" w:eastAsia="Courier New" w:hAnsi="Courier New"/>
                <w:color w:val="EAF1FD"/>
                <w:sz w:val="18"/>
                <w:szCs w:val="18"/>
              </w:rPr>
              <w:t xml:space="preserve">  "type": "object",</w:t>
            </w:r>
          </w:p>
          <w:p>
            <w:pPr>
              <w:spacing w:after="20"/>
            </w:pPr>
            <w:r>
              <w:rPr>
                <w:rFonts w:ascii="Courier New" w:cs="Courier New" w:eastAsia="Courier New" w:hAnsi="Courier New"/>
                <w:color w:val="EAF1FD"/>
                <w:sz w:val="18"/>
                <w:szCs w:val="18"/>
              </w:rPr>
              <w:t xml:space="preserve">  "required": ["specVersion", "info", "capabilities", "tools",</w:t>
            </w:r>
          </w:p>
          <w:p>
            <w:pPr>
              <w:spacing w:after="20"/>
            </w:pPr>
            <w:r>
              <w:rPr>
                <w:rFonts w:ascii="Courier New" w:cs="Courier New" w:eastAsia="Courier New" w:hAnsi="Courier New"/>
                <w:color w:val="EAF1FD"/>
                <w:sz w:val="18"/>
                <w:szCs w:val="18"/>
              </w:rPr>
              <w:t xml:space="preserve">    "dataContracts", "model", "guardrails", "auth",</w:t>
            </w:r>
          </w:p>
          <w:p>
            <w:pPr>
              <w:spacing w:after="20"/>
            </w:pPr>
            <w:r>
              <w:rPr>
                <w:rFonts w:ascii="Courier New" w:cs="Courier New" w:eastAsia="Courier New" w:hAnsi="Courier New"/>
                <w:color w:val="EAF1FD"/>
                <w:sz w:val="18"/>
                <w:szCs w:val="18"/>
              </w:rPr>
              <w:t xml:space="preserve">    "observability", "errorHandling", "deployment"],</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"specVersion": { "type": "string" },</w:t>
            </w:r>
          </w:p>
          <w:p>
            <w:pPr>
              <w:spacing w:after="20"/>
            </w:pPr>
            <w:r>
              <w:rPr>
                <w:rFonts w:ascii="Courier New" w:cs="Courier New" w:eastAsia="Courier New" w:hAnsi="Courier New"/>
                <w:color w:val="EAF1FD"/>
                <w:sz w:val="18"/>
                <w:szCs w:val="18"/>
              </w:rPr>
              <w:t xml:space="preserve">    "info": { "$ref": "#/$defs/Info" },</w:t>
            </w:r>
          </w:p>
          <w:p>
            <w:pPr>
              <w:spacing w:after="20"/>
            </w:pPr>
            <w:r>
              <w:rPr>
                <w:rFonts w:ascii="Courier New" w:cs="Courier New" w:eastAsia="Courier New" w:hAnsi="Courier New"/>
                <w:color w:val="EAF1FD"/>
                <w:sz w:val="18"/>
                <w:szCs w:val="18"/>
              </w:rPr>
              <w:t xml:space="preserve">    "capabilities": { "type": "array", "minItems": 1,</w:t>
            </w:r>
          </w:p>
          <w:p>
            <w:pPr>
              <w:spacing w:after="20"/>
            </w:pPr>
            <w:r>
              <w:rPr>
                <w:rFonts w:ascii="Courier New" w:cs="Courier New" w:eastAsia="Courier New" w:hAnsi="Courier New"/>
                <w:color w:val="EAF1FD"/>
                <w:sz w:val="18"/>
                <w:szCs w:val="18"/>
              </w:rPr>
              <w:t xml:space="preserve">      "items": { "$ref": "#/$defs/Capability" } },</w:t>
            </w:r>
          </w:p>
          <w:p>
            <w:pPr>
              <w:spacing w:after="20"/>
            </w:pPr>
            <w:r>
              <w:rPr>
                <w:rFonts w:ascii="Courier New" w:cs="Courier New" w:eastAsia="Courier New" w:hAnsi="Courier New"/>
                <w:color w:val="EAF1FD"/>
                <w:sz w:val="18"/>
                <w:szCs w:val="18"/>
              </w:rPr>
              <w:t xml:space="preserve">    "tools": { "type": "array",</w:t>
            </w:r>
          </w:p>
          <w:p>
            <w:pPr>
              <w:spacing w:after="20"/>
            </w:pPr>
            <w:r>
              <w:rPr>
                <w:rFonts w:ascii="Courier New" w:cs="Courier New" w:eastAsia="Courier New" w:hAnsi="Courier New"/>
                <w:color w:val="EAF1FD"/>
                <w:sz w:val="18"/>
                <w:szCs w:val="18"/>
              </w:rPr>
              <w:t xml:space="preserve">      "items": { "$ref": "#/$defs/Tool" } },</w:t>
            </w:r>
          </w:p>
          <w:p>
            <w:pPr>
              <w:spacing w:after="20"/>
            </w:pPr>
            <w:r>
              <w:rPr>
                <w:rFonts w:ascii="Courier New" w:cs="Courier New" w:eastAsia="Courier New" w:hAnsi="Courier New"/>
                <w:color w:val="EAF1FD"/>
                <w:sz w:val="18"/>
                <w:szCs w:val="18"/>
              </w:rPr>
              <w:t xml:space="preserve">    "dataContracts": { "type": "array",</w:t>
            </w:r>
          </w:p>
          <w:p>
            <w:pPr>
              <w:spacing w:after="20"/>
            </w:pPr>
            <w:r>
              <w:rPr>
                <w:rFonts w:ascii="Courier New" w:cs="Courier New" w:eastAsia="Courier New" w:hAnsi="Courier New"/>
                <w:color w:val="EAF1FD"/>
                <w:sz w:val="18"/>
                <w:szCs w:val="18"/>
              </w:rPr>
              <w:t xml:space="preserve">      "items": { "$ref": "#/$defs/DataContract" } },</w:t>
            </w:r>
          </w:p>
          <w:p>
            <w:pPr>
              <w:spacing w:after="20"/>
            </w:pPr>
            <w:r>
              <w:rPr>
                <w:rFonts w:ascii="Courier New" w:cs="Courier New" w:eastAsia="Courier New" w:hAnsi="Courier New"/>
                <w:color w:val="EAF1FD"/>
                <w:sz w:val="18"/>
                <w:szCs w:val="18"/>
              </w:rPr>
              <w:t xml:space="preserve">    "model": { "$ref": "#/$defs/Model" },</w:t>
            </w:r>
          </w:p>
          <w:p>
            <w:pPr>
              <w:spacing w:after="20"/>
            </w:pPr>
            <w:r>
              <w:rPr>
                <w:rFonts w:ascii="Courier New" w:cs="Courier New" w:eastAsia="Courier New" w:hAnsi="Courier New"/>
                <w:color w:val="EAF1FD"/>
                <w:sz w:val="18"/>
                <w:szCs w:val="18"/>
              </w:rPr>
              <w:t xml:space="preserve">    "memory": { "$ref": "#/$defs/Memory" },</w:t>
            </w:r>
          </w:p>
          <w:p>
            <w:pPr>
              <w:spacing w:after="20"/>
            </w:pPr>
            <w:r>
              <w:rPr>
                <w:rFonts w:ascii="Courier New" w:cs="Courier New" w:eastAsia="Courier New" w:hAnsi="Courier New"/>
                <w:color w:val="EAF1FD"/>
                <w:sz w:val="18"/>
                <w:szCs w:val="18"/>
              </w:rPr>
              <w:t xml:space="preserve">    "guardrails": { "$ref": "#/$defs/Guardrails" },</w:t>
            </w:r>
          </w:p>
          <w:p>
            <w:pPr>
              <w:spacing w:after="20"/>
            </w:pPr>
            <w:r>
              <w:rPr>
                <w:rFonts w:ascii="Courier New" w:cs="Courier New" w:eastAsia="Courier New" w:hAnsi="Courier New"/>
                <w:color w:val="EAF1FD"/>
                <w:sz w:val="18"/>
                <w:szCs w:val="18"/>
              </w:rPr>
              <w:t xml:space="preserve">    "auth": { "$ref": "#/$defs/Auth" },</w:t>
            </w:r>
          </w:p>
          <w:p>
            <w:pPr>
              <w:spacing w:after="20"/>
            </w:pPr>
            <w:r>
              <w:rPr>
                <w:rFonts w:ascii="Courier New" w:cs="Courier New" w:eastAsia="Courier New" w:hAnsi="Courier New"/>
                <w:color w:val="EAF1FD"/>
                <w:sz w:val="18"/>
                <w:szCs w:val="18"/>
              </w:rPr>
              <w:t xml:space="preserve">    "humanInLoop": { "$ref": "#/$defs/HumanInLoop" },</w:t>
            </w:r>
          </w:p>
          <w:p>
            <w:pPr>
              <w:spacing w:after="20"/>
            </w:pPr>
            <w:r>
              <w:rPr>
                <w:rFonts w:ascii="Courier New" w:cs="Courier New" w:eastAsia="Courier New" w:hAnsi="Courier New"/>
                <w:color w:val="EAF1FD"/>
                <w:sz w:val="18"/>
                <w:szCs w:val="18"/>
              </w:rPr>
              <w:t xml:space="preserve">    "observability": { "$ref": "#/$defs/Observability" },</w:t>
            </w:r>
          </w:p>
          <w:p>
            <w:pPr>
              <w:spacing w:after="20"/>
            </w:pPr>
            <w:r>
              <w:rPr>
                <w:rFonts w:ascii="Courier New" w:cs="Courier New" w:eastAsia="Courier New" w:hAnsi="Courier New"/>
                <w:color w:val="EAF1FD"/>
                <w:sz w:val="18"/>
                <w:szCs w:val="18"/>
              </w:rPr>
              <w:t xml:space="preserve">    "errorHandling": { "$ref": "#/$defs/ErrorHandling" },</w:t>
            </w:r>
          </w:p>
          <w:p>
            <w:pPr>
              <w:spacing w:after="20"/>
            </w:pPr>
            <w:r>
              <w:rPr>
                <w:rFonts w:ascii="Courier New" w:cs="Courier New" w:eastAsia="Courier New" w:hAnsi="Courier New"/>
                <w:color w:val="EAF1FD"/>
                <w:sz w:val="18"/>
                <w:szCs w:val="18"/>
              </w:rPr>
              <w:t xml:space="preserve">    "deployment": { "$ref": "#/$defs/Deployment"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"$defs": {</w:t>
            </w:r>
          </w:p>
          <w:p>
            <w:pPr>
              <w:spacing w:after="20"/>
            </w:pPr>
            <w:r>
              <w:rPr>
                <w:rFonts w:ascii="Courier New" w:cs="Courier New" w:eastAsia="Courier New" w:hAnsi="Courier New"/>
                <w:color w:val="EAF1FD"/>
                <w:sz w:val="18"/>
                <w:szCs w:val="18"/>
              </w:rPr>
              <w:t xml:space="preserve">    "Info": {</w:t>
            </w:r>
          </w:p>
          <w:p>
            <w:pPr>
              <w:spacing w:after="20"/>
            </w:pPr>
            <w:r>
              <w:rPr>
                <w:rFonts w:ascii="Courier New" w:cs="Courier New" w:eastAsia="Courier New" w:hAnsi="Courier New"/>
                <w:color w:val="EAF1FD"/>
                <w:sz w:val="18"/>
                <w:szCs w:val="18"/>
              </w:rPr>
              <w:t xml:space="preserve">      "type": "object",</w:t>
            </w:r>
          </w:p>
          <w:p>
            <w:pPr>
              <w:spacing w:after="20"/>
            </w:pPr>
            <w:r>
              <w:rPr>
                <w:rFonts w:ascii="Courier New" w:cs="Courier New" w:eastAsia="Courier New" w:hAnsi="Courier New"/>
                <w:color w:val="EAF1FD"/>
                <w:sz w:val="18"/>
                <w:szCs w:val="18"/>
              </w:rPr>
              <w:t xml:space="preserve">      "required": ["name", "version", "owner", "description", "lifecycle"],</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"name": { "type": "string", "pattern": "^[a-z0-9-]+$" },</w:t>
            </w:r>
          </w:p>
          <w:p>
            <w:pPr>
              <w:spacing w:after="20"/>
            </w:pPr>
            <w:r>
              <w:rPr>
                <w:rFonts w:ascii="Courier New" w:cs="Courier New" w:eastAsia="Courier New" w:hAnsi="Courier New"/>
                <w:color w:val="EAF1FD"/>
                <w:sz w:val="18"/>
                <w:szCs w:val="18"/>
              </w:rPr>
              <w:t xml:space="preserve">        "version": { "type": "string" },</w:t>
            </w:r>
          </w:p>
          <w:p>
            <w:pPr>
              <w:spacing w:after="20"/>
            </w:pPr>
            <w:r>
              <w:rPr>
                <w:rFonts w:ascii="Courier New" w:cs="Courier New" w:eastAsia="Courier New" w:hAnsi="Courier New"/>
                <w:color w:val="EAF1FD"/>
                <w:sz w:val="18"/>
                <w:szCs w:val="18"/>
              </w:rPr>
              <w:t xml:space="preserve">        "owner": { "type": "string" },</w:t>
            </w:r>
          </w:p>
          <w:p>
            <w:pPr>
              <w:spacing w:after="20"/>
            </w:pPr>
            <w:r>
              <w:rPr>
                <w:rFonts w:ascii="Courier New" w:cs="Courier New" w:eastAsia="Courier New" w:hAnsi="Courier New"/>
                <w:color w:val="EAF1FD"/>
                <w:sz w:val="18"/>
                <w:szCs w:val="18"/>
              </w:rPr>
              <w:t xml:space="preserve">        "description": { "type": "string" },</w:t>
            </w:r>
          </w:p>
          <w:p>
            <w:pPr>
              <w:spacing w:after="20"/>
            </w:pPr>
            <w:r>
              <w:rPr>
                <w:rFonts w:ascii="Courier New" w:cs="Courier New" w:eastAsia="Courier New" w:hAnsi="Courier New"/>
                <w:color w:val="EAF1FD"/>
                <w:sz w:val="18"/>
                <w:szCs w:val="18"/>
              </w:rPr>
              <w:t xml:space="preserve">        "lifecycle": { "enum": ["draft","pilot","production","deprecated"] },</w:t>
            </w:r>
          </w:p>
          <w:p>
            <w:pPr>
              <w:spacing w:after="20"/>
            </w:pPr>
            <w:r>
              <w:rPr>
                <w:rFonts w:ascii="Courier New" w:cs="Courier New" w:eastAsia="Courier New" w:hAnsi="Courier New"/>
                <w:color w:val="EAF1FD"/>
                <w:sz w:val="18"/>
                <w:szCs w:val="18"/>
              </w:rPr>
              <w:t xml:space="preserve">        "tags": { "type": "array", "items": { "type": "string" }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"Capability": {</w:t>
            </w:r>
          </w:p>
          <w:p>
            <w:pPr>
              <w:spacing w:after="20"/>
            </w:pPr>
            <w:r>
              <w:rPr>
                <w:rFonts w:ascii="Courier New" w:cs="Courier New" w:eastAsia="Courier New" w:hAnsi="Courier New"/>
                <w:color w:val="EAF1FD"/>
                <w:sz w:val="18"/>
                <w:szCs w:val="18"/>
              </w:rPr>
              <w:t xml:space="preserve">      "type": "object",</w:t>
            </w:r>
          </w:p>
          <w:p>
            <w:pPr>
              <w:spacing w:after="20"/>
            </w:pPr>
            <w:r>
              <w:rPr>
                <w:rFonts w:ascii="Courier New" w:cs="Courier New" w:eastAsia="Courier New" w:hAnsi="Courier New"/>
                <w:color w:val="EAF1FD"/>
                <w:sz w:val="18"/>
                <w:szCs w:val="18"/>
              </w:rPr>
              <w:t xml:space="preserve">      "required": ["id", "description", "inputs", "outputs"],</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"id": { "type": "string" },</w:t>
            </w:r>
          </w:p>
          <w:p>
            <w:pPr>
              <w:spacing w:after="20"/>
            </w:pPr>
            <w:r>
              <w:rPr>
                <w:rFonts w:ascii="Courier New" w:cs="Courier New" w:eastAsia="Courier New" w:hAnsi="Courier New"/>
                <w:color w:val="EAF1FD"/>
                <w:sz w:val="18"/>
                <w:szCs w:val="18"/>
              </w:rPr>
              <w:t xml:space="preserve">        "description": { "type": "string" },</w:t>
            </w:r>
          </w:p>
          <w:p>
            <w:pPr>
              <w:spacing w:after="20"/>
            </w:pPr>
            <w:r>
              <w:rPr>
                <w:rFonts w:ascii="Courier New" w:cs="Courier New" w:eastAsia="Courier New" w:hAnsi="Courier New"/>
                <w:color w:val="EAF1FD"/>
                <w:sz w:val="18"/>
                <w:szCs w:val="18"/>
              </w:rPr>
              <w:t xml:space="preserve">        "inputs": { "type": "object" },</w:t>
            </w:r>
          </w:p>
          <w:p>
            <w:pPr>
              <w:spacing w:after="20"/>
            </w:pPr>
            <w:r>
              <w:rPr>
                <w:rFonts w:ascii="Courier New" w:cs="Courier New" w:eastAsia="Courier New" w:hAnsi="Courier New"/>
                <w:color w:val="EAF1FD"/>
                <w:sz w:val="18"/>
                <w:szCs w:val="18"/>
              </w:rPr>
              <w:t xml:space="preserve">        "outputs": { "type": "object" },</w:t>
            </w:r>
          </w:p>
          <w:p>
            <w:pPr>
              <w:spacing w:after="20"/>
            </w:pPr>
            <w:r>
              <w:rPr>
                <w:rFonts w:ascii="Courier New" w:cs="Courier New" w:eastAsia="Courier New" w:hAnsi="Courier New"/>
                <w:color w:val="EAF1FD"/>
                <w:sz w:val="18"/>
                <w:szCs w:val="18"/>
              </w:rPr>
              <w:t xml:space="preserve">        "scopeBoundaries": { "type": "string" },</w:t>
            </w:r>
          </w:p>
          <w:p>
            <w:pPr>
              <w:spacing w:after="20"/>
            </w:pPr>
            <w:r>
              <w:rPr>
                <w:rFonts w:ascii="Courier New" w:cs="Courier New" w:eastAsia="Courier New" w:hAnsi="Courier New"/>
                <w:color w:val="EAF1FD"/>
                <w:sz w:val="18"/>
                <w:szCs w:val="18"/>
              </w:rPr>
              <w:t xml:space="preserve">        "examples": { "type": "array", "items": { "type": "object" }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"Tool": {</w:t>
            </w:r>
          </w:p>
          <w:p>
            <w:pPr>
              <w:spacing w:after="20"/>
            </w:pPr>
            <w:r>
              <w:rPr>
                <w:rFonts w:ascii="Courier New" w:cs="Courier New" w:eastAsia="Courier New" w:hAnsi="Courier New"/>
                <w:color w:val="EAF1FD"/>
                <w:sz w:val="18"/>
                <w:szCs w:val="18"/>
              </w:rPr>
              <w:t xml:space="preserve">      "type": "object",</w:t>
            </w:r>
          </w:p>
          <w:p>
            <w:pPr>
              <w:spacing w:after="20"/>
            </w:pPr>
            <w:r>
              <w:rPr>
                <w:rFonts w:ascii="Courier New" w:cs="Courier New" w:eastAsia="Courier New" w:hAnsi="Courier New"/>
                <w:color w:val="EAF1FD"/>
                <w:sz w:val="18"/>
                <w:szCs w:val="18"/>
              </w:rPr>
              <w:t xml:space="preserve">      "required": ["id", "type", "description", "schema", "sideEffects"],</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"id": { "type": "string" },</w:t>
            </w:r>
          </w:p>
          <w:p>
            <w:pPr>
              <w:spacing w:after="20"/>
            </w:pPr>
            <w:r>
              <w:rPr>
                <w:rFonts w:ascii="Courier New" w:cs="Courier New" w:eastAsia="Courier New" w:hAnsi="Courier New"/>
                <w:color w:val="EAF1FD"/>
                <w:sz w:val="18"/>
                <w:szCs w:val="18"/>
              </w:rPr>
              <w:t xml:space="preserve">        "type": { "enum": ["function","http","mcp"] },</w:t>
            </w:r>
          </w:p>
          <w:p>
            <w:pPr>
              <w:spacing w:after="20"/>
            </w:pPr>
            <w:r>
              <w:rPr>
                <w:rFonts w:ascii="Courier New" w:cs="Courier New" w:eastAsia="Courier New" w:hAnsi="Courier New"/>
                <w:color w:val="EAF1FD"/>
                <w:sz w:val="18"/>
                <w:szCs w:val="18"/>
              </w:rPr>
              <w:t xml:space="preserve">        "description": { "type": "string" },</w:t>
            </w:r>
          </w:p>
          <w:p>
            <w:pPr>
              <w:spacing w:after="20"/>
            </w:pPr>
            <w:r>
              <w:rPr>
                <w:rFonts w:ascii="Courier New" w:cs="Courier New" w:eastAsia="Courier New" w:hAnsi="Courier New"/>
                <w:color w:val="EAF1FD"/>
                <w:sz w:val="18"/>
                <w:szCs w:val="18"/>
              </w:rPr>
              <w:t xml:space="preserve">        "schema": { "type": "object" },</w:t>
            </w:r>
          </w:p>
          <w:p>
            <w:pPr>
              <w:spacing w:after="20"/>
            </w:pPr>
            <w:r>
              <w:rPr>
                <w:rFonts w:ascii="Courier New" w:cs="Courier New" w:eastAsia="Courier New" w:hAnsi="Courier New"/>
                <w:color w:val="EAF1FD"/>
                <w:sz w:val="18"/>
                <w:szCs w:val="18"/>
              </w:rPr>
              <w:t xml:space="preserve">        "sideEffects": { "enum": ["none","read","write","irreversible"] },</w:t>
            </w:r>
          </w:p>
          <w:p>
            <w:pPr>
              <w:spacing w:after="20"/>
            </w:pPr>
            <w:r>
              <w:rPr>
                <w:rFonts w:ascii="Courier New" w:cs="Courier New" w:eastAsia="Courier New" w:hAnsi="Courier New"/>
                <w:color w:val="EAF1FD"/>
                <w:sz w:val="18"/>
                <w:szCs w:val="18"/>
              </w:rPr>
              <w:t xml:space="preserve">        "rateLimit": { "type": "object",</w:t>
            </w:r>
          </w:p>
          <w:p>
            <w:pPr>
              <w:spacing w:after="20"/>
            </w:pPr>
            <w:r>
              <w:rPr>
                <w:rFonts w:ascii="Courier New" w:cs="Courier New" w:eastAsia="Courier New" w:hAnsi="Courier New"/>
                <w:color w:val="EAF1FD"/>
                <w:sz w:val="18"/>
                <w:szCs w:val="18"/>
              </w:rPr>
              <w:t xml:space="preserve">          "properties": { "maxCalls": {"type":"integer"},</w:t>
            </w:r>
          </w:p>
          <w:p>
            <w:pPr>
              <w:spacing w:after="20"/>
            </w:pPr>
            <w:r>
              <w:rPr>
                <w:rFonts w:ascii="Courier New" w:cs="Courier New" w:eastAsia="Courier New" w:hAnsi="Courier New"/>
                <w:color w:val="EAF1FD"/>
                <w:sz w:val="18"/>
                <w:szCs w:val="18"/>
              </w:rPr>
              <w:t xml:space="preserve">                           "perSeconds": {"type":"integer"} } },</w:t>
            </w:r>
          </w:p>
          <w:p>
            <w:pPr>
              <w:spacing w:after="20"/>
            </w:pPr>
            <w:r>
              <w:rPr>
                <w:rFonts w:ascii="Courier New" w:cs="Courier New" w:eastAsia="Courier New" w:hAnsi="Courier New"/>
                <w:color w:val="EAF1FD"/>
                <w:sz w:val="18"/>
                <w:szCs w:val="18"/>
              </w:rPr>
              <w:t xml:space="preserve">        "authRef": { "type": "string" },</w:t>
            </w:r>
          </w:p>
          <w:p>
            <w:pPr>
              <w:spacing w:after="20"/>
            </w:pPr>
            <w:r>
              <w:rPr>
                <w:rFonts w:ascii="Courier New" w:cs="Courier New" w:eastAsia="Courier New" w:hAnsi="Courier New"/>
                <w:color w:val="EAF1FD"/>
                <w:sz w:val="18"/>
                <w:szCs w:val="18"/>
              </w:rPr>
              <w:t xml:space="preserve">        "timeoutMs": { "type": "integer", "default": 30000 },</w:t>
            </w:r>
          </w:p>
          <w:p>
            <w:pPr>
              <w:spacing w:after="20"/>
            </w:pPr>
            <w:r>
              <w:rPr>
                <w:rFonts w:ascii="Courier New" w:cs="Courier New" w:eastAsia="Courier New" w:hAnsi="Courier New"/>
                <w:color w:val="EAF1FD"/>
                <w:sz w:val="18"/>
                <w:szCs w:val="18"/>
              </w:rPr>
              <w:t xml:space="preserve">        "retryPolicy": { "type": "object",</w:t>
            </w:r>
          </w:p>
          <w:p>
            <w:pPr>
              <w:spacing w:after="20"/>
            </w:pPr>
            <w:r>
              <w:rPr>
                <w:rFonts w:ascii="Courier New" w:cs="Courier New" w:eastAsia="Courier New" w:hAnsi="Courier New"/>
                <w:color w:val="EAF1FD"/>
                <w:sz w:val="18"/>
                <w:szCs w:val="18"/>
              </w:rPr>
              <w:t xml:space="preserve">          "properties": { "maxRetries": {"type":"integer"},</w:t>
            </w:r>
          </w:p>
          <w:p>
            <w:pPr>
              <w:spacing w:after="20"/>
            </w:pPr>
            <w:r>
              <w:rPr>
                <w:rFonts w:ascii="Courier New" w:cs="Courier New" w:eastAsia="Courier New" w:hAnsi="Courier New"/>
                <w:color w:val="EAF1FD"/>
                <w:sz w:val="18"/>
                <w:szCs w:val="18"/>
              </w:rPr>
              <w:t xml:space="preserve">            "backoff": {"enum": ["fixed","exponential"]} }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"DataContract": {</w:t>
            </w:r>
          </w:p>
          <w:p>
            <w:pPr>
              <w:spacing w:after="20"/>
            </w:pPr>
            <w:r>
              <w:rPr>
                <w:rFonts w:ascii="Courier New" w:cs="Courier New" w:eastAsia="Courier New" w:hAnsi="Courier New"/>
                <w:color w:val="EAF1FD"/>
                <w:sz w:val="18"/>
                <w:szCs w:val="18"/>
              </w:rPr>
              <w:t xml:space="preserve">      "type": "object",</w:t>
            </w:r>
          </w:p>
          <w:p>
            <w:pPr>
              <w:spacing w:after="20"/>
            </w:pPr>
            <w:r>
              <w:rPr>
                <w:rFonts w:ascii="Courier New" w:cs="Courier New" w:eastAsia="Courier New" w:hAnsi="Courier New"/>
                <w:color w:val="EAF1FD"/>
                <w:sz w:val="18"/>
                <w:szCs w:val="18"/>
              </w:rPr>
              <w:t xml:space="preserve">      "required": ["source", "classification", "allowedOperations", "retention"],</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"source": { "type": "string" },</w:t>
            </w:r>
          </w:p>
          <w:p>
            <w:pPr>
              <w:spacing w:after="20"/>
            </w:pPr>
            <w:r>
              <w:rPr>
                <w:rFonts w:ascii="Courier New" w:cs="Courier New" w:eastAsia="Courier New" w:hAnsi="Courier New"/>
                <w:color w:val="EAF1FD"/>
                <w:sz w:val="18"/>
                <w:szCs w:val="18"/>
              </w:rPr>
              <w:t xml:space="preserve">        "classification": { "enum": ["public","internal","confidential","restricted"] },</w:t>
            </w:r>
          </w:p>
          <w:p>
            <w:pPr>
              <w:spacing w:after="20"/>
            </w:pPr>
            <w:r>
              <w:rPr>
                <w:rFonts w:ascii="Courier New" w:cs="Courier New" w:eastAsia="Courier New" w:hAnsi="Courier New"/>
                <w:color w:val="EAF1FD"/>
                <w:sz w:val="18"/>
                <w:szCs w:val="18"/>
              </w:rPr>
              <w:t xml:space="preserve">        "allowedOperations": { "type": "array",</w:t>
            </w:r>
          </w:p>
          <w:p>
            <w:pPr>
              <w:spacing w:after="20"/>
            </w:pPr>
            <w:r>
              <w:rPr>
                <w:rFonts w:ascii="Courier New" w:cs="Courier New" w:eastAsia="Courier New" w:hAnsi="Courier New"/>
                <w:color w:val="EAF1FD"/>
                <w:sz w:val="18"/>
                <w:szCs w:val="18"/>
              </w:rPr>
              <w:t xml:space="preserve">          "items": { "enum": ["read","write","delete"] } },</w:t>
            </w:r>
          </w:p>
          <w:p>
            <w:pPr>
              <w:spacing w:after="20"/>
            </w:pPr>
            <w:r>
              <w:rPr>
                <w:rFonts w:ascii="Courier New" w:cs="Courier New" w:eastAsia="Courier New" w:hAnsi="Courier New"/>
                <w:color w:val="EAF1FD"/>
                <w:sz w:val="18"/>
                <w:szCs w:val="18"/>
              </w:rPr>
              <w:t xml:space="preserve">        "retention": { "type": "string" },</w:t>
            </w:r>
          </w:p>
          <w:p>
            <w:pPr>
              <w:spacing w:after="20"/>
            </w:pPr>
            <w:r>
              <w:rPr>
                <w:rFonts w:ascii="Courier New" w:cs="Courier New" w:eastAsia="Courier New" w:hAnsi="Courier New"/>
                <w:color w:val="EAF1FD"/>
                <w:sz w:val="18"/>
                <w:szCs w:val="18"/>
              </w:rPr>
              <w:t xml:space="preserve">        "fields": { "type": "array", "items": { "type": "string" } },</w:t>
            </w:r>
          </w:p>
          <w:p>
            <w:pPr>
              <w:spacing w:after="20"/>
            </w:pPr>
            <w:r>
              <w:rPr>
                <w:rFonts w:ascii="Courier New" w:cs="Courier New" w:eastAsia="Courier New" w:hAnsi="Courier New"/>
                <w:color w:val="EAF1FD"/>
                <w:sz w:val="18"/>
                <w:szCs w:val="18"/>
              </w:rPr>
              <w:t xml:space="preserve">        "piiPresent": { "type": "boolean", "default": false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"Model": {</w:t>
            </w:r>
          </w:p>
          <w:p>
            <w:pPr>
              <w:spacing w:after="20"/>
            </w:pPr>
            <w:r>
              <w:rPr>
                <w:rFonts w:ascii="Courier New" w:cs="Courier New" w:eastAsia="Courier New" w:hAnsi="Courier New"/>
                <w:color w:val="EAF1FD"/>
                <w:sz w:val="18"/>
                <w:szCs w:val="18"/>
              </w:rPr>
              <w:t xml:space="preserve">      "type": "object",</w:t>
            </w:r>
          </w:p>
          <w:p>
            <w:pPr>
              <w:spacing w:after="20"/>
            </w:pPr>
            <w:r>
              <w:rPr>
                <w:rFonts w:ascii="Courier New" w:cs="Courier New" w:eastAsia="Courier New" w:hAnsi="Courier New"/>
                <w:color w:val="EAF1FD"/>
                <w:sz w:val="18"/>
                <w:szCs w:val="18"/>
              </w:rPr>
              <w:t xml:space="preserve">      "required": ["provider", "model", "promptTemplateRef", "planningStrategy"],</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"provider": { "type": "string" },</w:t>
            </w:r>
          </w:p>
          <w:p>
            <w:pPr>
              <w:spacing w:after="20"/>
            </w:pPr>
            <w:r>
              <w:rPr>
                <w:rFonts w:ascii="Courier New" w:cs="Courier New" w:eastAsia="Courier New" w:hAnsi="Courier New"/>
                <w:color w:val="EAF1FD"/>
                <w:sz w:val="18"/>
                <w:szCs w:val="18"/>
              </w:rPr>
              <w:t xml:space="preserve">        "model": { "type": "string" },</w:t>
            </w:r>
          </w:p>
          <w:p>
            <w:pPr>
              <w:spacing w:after="20"/>
            </w:pPr>
            <w:r>
              <w:rPr>
                <w:rFonts w:ascii="Courier New" w:cs="Courier New" w:eastAsia="Courier New" w:hAnsi="Courier New"/>
                <w:color w:val="EAF1FD"/>
                <w:sz w:val="18"/>
                <w:szCs w:val="18"/>
              </w:rPr>
              <w:t xml:space="preserve">        "parameters": { "type": "object" },</w:t>
            </w:r>
          </w:p>
          <w:p>
            <w:pPr>
              <w:spacing w:after="20"/>
            </w:pPr>
            <w:r>
              <w:rPr>
                <w:rFonts w:ascii="Courier New" w:cs="Courier New" w:eastAsia="Courier New" w:hAnsi="Courier New"/>
                <w:color w:val="EAF1FD"/>
                <w:sz w:val="18"/>
                <w:szCs w:val="18"/>
              </w:rPr>
              <w:t xml:space="preserve">        "promptTemplateRef": { "type": "string" },</w:t>
            </w:r>
          </w:p>
          <w:p>
            <w:pPr>
              <w:spacing w:after="20"/>
            </w:pPr>
            <w:r>
              <w:rPr>
                <w:rFonts w:ascii="Courier New" w:cs="Courier New" w:eastAsia="Courier New" w:hAnsi="Courier New"/>
                <w:color w:val="EAF1FD"/>
                <w:sz w:val="18"/>
                <w:szCs w:val="18"/>
              </w:rPr>
              <w:t xml:space="preserve">        "planningStrategy": { "enum": ["single-shot","react","plan-execute"] },</w:t>
            </w:r>
          </w:p>
          <w:p>
            <w:pPr>
              <w:spacing w:after="20"/>
            </w:pPr>
            <w:r>
              <w:rPr>
                <w:rFonts w:ascii="Courier New" w:cs="Courier New" w:eastAsia="Courier New" w:hAnsi="Courier New"/>
                <w:color w:val="EAF1FD"/>
                <w:sz w:val="18"/>
                <w:szCs w:val="18"/>
              </w:rPr>
              <w:t xml:space="preserve">        "fallbackModel": { "type": "string"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"Memory": {</w:t>
            </w:r>
          </w:p>
          <w:p>
            <w:pPr>
              <w:spacing w:after="20"/>
            </w:pPr>
            <w:r>
              <w:rPr>
                <w:rFonts w:ascii="Courier New" w:cs="Courier New" w:eastAsia="Courier New" w:hAnsi="Courier New"/>
                <w:color w:val="EAF1FD"/>
                <w:sz w:val="18"/>
                <w:szCs w:val="18"/>
              </w:rPr>
              <w:t xml:space="preserve">      "type": "object",</w:t>
            </w:r>
          </w:p>
          <w:p>
            <w:pPr>
              <w:spacing w:after="20"/>
            </w:pPr>
            <w:r>
              <w:rPr>
                <w:rFonts w:ascii="Courier New" w:cs="Courier New" w:eastAsia="Courier New" w:hAnsi="Courier New"/>
                <w:color w:val="EAF1FD"/>
                <w:sz w:val="18"/>
                <w:szCs w:val="18"/>
              </w:rPr>
              <w:t xml:space="preserve">      "required": ["type"],</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"type": { "enum": ["none","session","long-term"], "default": "none" },</w:t>
            </w:r>
          </w:p>
          <w:p>
            <w:pPr>
              <w:spacing w:after="20"/>
            </w:pPr>
            <w:r>
              <w:rPr>
                <w:rFonts w:ascii="Courier New" w:cs="Courier New" w:eastAsia="Courier New" w:hAnsi="Courier New"/>
                <w:color w:val="EAF1FD"/>
                <w:sz w:val="18"/>
                <w:szCs w:val="18"/>
              </w:rPr>
              <w:t xml:space="preserve">        "scope": { "type": "string" },</w:t>
            </w:r>
          </w:p>
          <w:p>
            <w:pPr>
              <w:spacing w:after="20"/>
            </w:pPr>
            <w:r>
              <w:rPr>
                <w:rFonts w:ascii="Courier New" w:cs="Courier New" w:eastAsia="Courier New" w:hAnsi="Courier New"/>
                <w:color w:val="EAF1FD"/>
                <w:sz w:val="18"/>
                <w:szCs w:val="18"/>
              </w:rPr>
              <w:t xml:space="preserve">        "ttl": { "type": "string" },</w:t>
            </w:r>
          </w:p>
          <w:p>
            <w:pPr>
              <w:spacing w:after="20"/>
            </w:pPr>
            <w:r>
              <w:rPr>
                <w:rFonts w:ascii="Courier New" w:cs="Courier New" w:eastAsia="Courier New" w:hAnsi="Courier New"/>
                <w:color w:val="EAF1FD"/>
                <w:sz w:val="18"/>
                <w:szCs w:val="18"/>
              </w:rPr>
              <w:t xml:space="preserve">        "persistenceRef": { "type": "string" },</w:t>
            </w:r>
          </w:p>
          <w:p>
            <w:pPr>
              <w:spacing w:after="20"/>
            </w:pPr>
            <w:r>
              <w:rPr>
                <w:rFonts w:ascii="Courier New" w:cs="Courier New" w:eastAsia="Courier New" w:hAnsi="Courier New"/>
                <w:color w:val="EAF1FD"/>
                <w:sz w:val="18"/>
                <w:szCs w:val="18"/>
              </w:rPr>
              <w:t xml:space="preserve">        "maxSizeKb": { "type": "integer"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"Guardrails": {</w:t>
            </w:r>
          </w:p>
          <w:p>
            <w:pPr>
              <w:spacing w:after="20"/>
            </w:pPr>
            <w:r>
              <w:rPr>
                <w:rFonts w:ascii="Courier New" w:cs="Courier New" w:eastAsia="Courier New" w:hAnsi="Courier New"/>
                <w:color w:val="EAF1FD"/>
                <w:sz w:val="18"/>
                <w:szCs w:val="18"/>
              </w:rPr>
              <w:t xml:space="preserve">      "type": "object",</w:t>
            </w:r>
          </w:p>
          <w:p>
            <w:pPr>
              <w:spacing w:after="20"/>
            </w:pPr>
            <w:r>
              <w:rPr>
                <w:rFonts w:ascii="Courier New" w:cs="Courier New" w:eastAsia="Courier New" w:hAnsi="Courier New"/>
                <w:color w:val="EAF1FD"/>
                <w:sz w:val="18"/>
                <w:szCs w:val="18"/>
              </w:rPr>
              <w:t xml:space="preserve">      "required": ["contentPolicies", "refusalConditions"],</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"contentPolicies": { "type": "array", "items": { "type": "string" } },</w:t>
            </w:r>
          </w:p>
          <w:p>
            <w:pPr>
              <w:spacing w:after="20"/>
            </w:pPr>
            <w:r>
              <w:rPr>
                <w:rFonts w:ascii="Courier New" w:cs="Courier New" w:eastAsia="Courier New" w:hAnsi="Courier New"/>
                <w:color w:val="EAF1FD"/>
                <w:sz w:val="18"/>
                <w:szCs w:val="18"/>
              </w:rPr>
              <w:t xml:space="preserve">        "businessRules": { "type": "array", "items": { "type": "string" } },</w:t>
            </w:r>
          </w:p>
          <w:p>
            <w:pPr>
              <w:spacing w:after="20"/>
            </w:pPr>
            <w:r>
              <w:rPr>
                <w:rFonts w:ascii="Courier New" w:cs="Courier New" w:eastAsia="Courier New" w:hAnsi="Courier New"/>
                <w:color w:val="EAF1FD"/>
                <w:sz w:val="18"/>
                <w:szCs w:val="18"/>
              </w:rPr>
              <w:t xml:space="preserve">        "refusalConditions": { "type": "array", "items": { "type": "string" } },</w:t>
            </w:r>
          </w:p>
          <w:p>
            <w:pPr>
              <w:spacing w:after="20"/>
            </w:pPr>
            <w:r>
              <w:rPr>
                <w:rFonts w:ascii="Courier New" w:cs="Courier New" w:eastAsia="Courier New" w:hAnsi="Courier New"/>
                <w:color w:val="EAF1FD"/>
                <w:sz w:val="18"/>
                <w:szCs w:val="18"/>
              </w:rPr>
              <w:t xml:space="preserve">        "maxAutonomySteps": { "type": "integer" },</w:t>
            </w:r>
          </w:p>
          <w:p>
            <w:pPr>
              <w:spacing w:after="20"/>
            </w:pPr>
            <w:r>
              <w:rPr>
                <w:rFonts w:ascii="Courier New" w:cs="Courier New" w:eastAsia="Courier New" w:hAnsi="Courier New"/>
                <w:color w:val="EAF1FD"/>
                <w:sz w:val="18"/>
                <w:szCs w:val="18"/>
              </w:rPr>
              <w:t xml:space="preserve">        "piiHandling": { "enum": ["mask","block","allow-with-logging"]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"Auth": {</w:t>
            </w:r>
          </w:p>
          <w:p>
            <w:pPr>
              <w:spacing w:after="20"/>
            </w:pPr>
            <w:r>
              <w:rPr>
                <w:rFonts w:ascii="Courier New" w:cs="Courier New" w:eastAsia="Courier New" w:hAnsi="Courier New"/>
                <w:color w:val="EAF1FD"/>
                <w:sz w:val="18"/>
                <w:szCs w:val="18"/>
              </w:rPr>
              <w:t xml:space="preserve">      "type": "object",</w:t>
            </w:r>
          </w:p>
          <w:p>
            <w:pPr>
              <w:spacing w:after="20"/>
            </w:pPr>
            <w:r>
              <w:rPr>
                <w:rFonts w:ascii="Courier New" w:cs="Courier New" w:eastAsia="Courier New" w:hAnsi="Courier New"/>
                <w:color w:val="EAF1FD"/>
                <w:sz w:val="18"/>
                <w:szCs w:val="18"/>
              </w:rPr>
              <w:t xml:space="preserve">      "required": ["identityRef", "credentialsRef", "scopesPerTool"],</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"identityRef": { "type": "string" },</w:t>
            </w:r>
          </w:p>
          <w:p>
            <w:pPr>
              <w:spacing w:after="20"/>
            </w:pPr>
            <w:r>
              <w:rPr>
                <w:rFonts w:ascii="Courier New" w:cs="Courier New" w:eastAsia="Courier New" w:hAnsi="Courier New"/>
                <w:color w:val="EAF1FD"/>
                <w:sz w:val="18"/>
                <w:szCs w:val="18"/>
              </w:rPr>
              <w:t xml:space="preserve">        "credentialsRef": { "type": "string",</w:t>
            </w:r>
          </w:p>
          <w:p>
            <w:pPr>
              <w:spacing w:after="20"/>
            </w:pPr>
            <w:r>
              <w:rPr>
                <w:rFonts w:ascii="Courier New" w:cs="Courier New" w:eastAsia="Courier New" w:hAnsi="Courier New"/>
                <w:color w:val="EAF1FD"/>
                <w:sz w:val="18"/>
                <w:szCs w:val="18"/>
              </w:rPr>
              <w:t xml:space="preserve">          "pattern": "^secretsmanager://" },</w:t>
            </w:r>
          </w:p>
          <w:p>
            <w:pPr>
              <w:spacing w:after="20"/>
            </w:pPr>
            <w:r>
              <w:rPr>
                <w:rFonts w:ascii="Courier New" w:cs="Courier New" w:eastAsia="Courier New" w:hAnsi="Courier New"/>
                <w:color w:val="EAF1FD"/>
                <w:sz w:val="18"/>
                <w:szCs w:val="18"/>
              </w:rPr>
              <w:t xml:space="preserve">        "scopesPerTool": { "type": "object",</w:t>
            </w:r>
          </w:p>
          <w:p>
            <w:pPr>
              <w:spacing w:after="20"/>
            </w:pPr>
            <w:r>
              <w:rPr>
                <w:rFonts w:ascii="Courier New" w:cs="Courier New" w:eastAsia="Courier New" w:hAnsi="Courier New"/>
                <w:color w:val="EAF1FD"/>
                <w:sz w:val="18"/>
                <w:szCs w:val="18"/>
              </w:rPr>
              <w:t xml:space="preserve">          "additionalProperties": {</w:t>
            </w:r>
          </w:p>
          <w:p>
            <w:pPr>
              <w:spacing w:after="20"/>
            </w:pPr>
            <w:r>
              <w:rPr>
                <w:rFonts w:ascii="Courier New" w:cs="Courier New" w:eastAsia="Courier New" w:hAnsi="Courier New"/>
                <w:color w:val="EAF1FD"/>
                <w:sz w:val="18"/>
                <w:szCs w:val="18"/>
              </w:rPr>
              <w:t xml:space="preserve">            "type": "array", "items": { "type": "string" } } },</w:t>
            </w:r>
          </w:p>
          <w:p>
            <w:pPr>
              <w:spacing w:after="20"/>
            </w:pPr>
            <w:r>
              <w:rPr>
                <w:rFonts w:ascii="Courier New" w:cs="Courier New" w:eastAsia="Courier New" w:hAnsi="Courier New"/>
                <w:color w:val="EAF1FD"/>
                <w:sz w:val="18"/>
                <w:szCs w:val="18"/>
              </w:rPr>
              <w:t xml:space="preserve">        "tokenLifetimeSeconds": { "type": "integer", "default": 3600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"HumanInLoop": {</w:t>
            </w:r>
          </w:p>
          <w:p>
            <w:pPr>
              <w:spacing w:after="20"/>
            </w:pPr>
            <w:r>
              <w:rPr>
                <w:rFonts w:ascii="Courier New" w:cs="Courier New" w:eastAsia="Courier New" w:hAnsi="Courier New"/>
                <w:color w:val="EAF1FD"/>
                <w:sz w:val="18"/>
                <w:szCs w:val="18"/>
              </w:rPr>
              <w:t xml:space="preserve">      "type": "object",</w:t>
            </w:r>
          </w:p>
          <w:p>
            <w:pPr>
              <w:spacing w:after="20"/>
            </w:pPr>
            <w:r>
              <w:rPr>
                <w:rFonts w:ascii="Courier New" w:cs="Courier New" w:eastAsia="Courier New" w:hAnsi="Courier New"/>
                <w:color w:val="EAF1FD"/>
                <w:sz w:val="18"/>
                <w:szCs w:val="18"/>
              </w:rPr>
              <w:t xml:space="preserve">      "required": ["escalationPath", "overrideAuthority"],</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"checkpoints": { "type": "array", "items": { "type": "string" } },</w:t>
            </w:r>
          </w:p>
          <w:p>
            <w:pPr>
              <w:spacing w:after="20"/>
            </w:pPr>
            <w:r>
              <w:rPr>
                <w:rFonts w:ascii="Courier New" w:cs="Courier New" w:eastAsia="Courier New" w:hAnsi="Courier New"/>
                <w:color w:val="EAF1FD"/>
                <w:sz w:val="18"/>
                <w:szCs w:val="18"/>
              </w:rPr>
              <w:t xml:space="preserve">        "escalationPath": { "type": "string" },</w:t>
            </w:r>
          </w:p>
          <w:p>
            <w:pPr>
              <w:spacing w:after="20"/>
            </w:pPr>
            <w:r>
              <w:rPr>
                <w:rFonts w:ascii="Courier New" w:cs="Courier New" w:eastAsia="Courier New" w:hAnsi="Courier New"/>
                <w:color w:val="EAF1FD"/>
                <w:sz w:val="18"/>
                <w:szCs w:val="18"/>
              </w:rPr>
              <w:t xml:space="preserve">        "overrideAuthority": { "type": "string" },</w:t>
            </w:r>
          </w:p>
          <w:p>
            <w:pPr>
              <w:spacing w:after="20"/>
            </w:pPr>
            <w:r>
              <w:rPr>
                <w:rFonts w:ascii="Courier New" w:cs="Courier New" w:eastAsia="Courier New" w:hAnsi="Courier New"/>
                <w:color w:val="EAF1FD"/>
                <w:sz w:val="18"/>
                <w:szCs w:val="18"/>
              </w:rPr>
              <w:t xml:space="preserve">        "approvalTimeoutBehavior": {</w:t>
            </w:r>
          </w:p>
          <w:p>
            <w:pPr>
              <w:spacing w:after="20"/>
            </w:pPr>
            <w:r>
              <w:rPr>
                <w:rFonts w:ascii="Courier New" w:cs="Courier New" w:eastAsia="Courier New" w:hAnsi="Courier New"/>
                <w:color w:val="EAF1FD"/>
                <w:sz w:val="18"/>
                <w:szCs w:val="18"/>
              </w:rPr>
              <w:t xml:space="preserve">          "enum": ["block","proceed-with-log","abort"], "default": "block"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"Observability": {</w:t>
            </w:r>
          </w:p>
          <w:p>
            <w:pPr>
              <w:spacing w:after="20"/>
            </w:pPr>
            <w:r>
              <w:rPr>
                <w:rFonts w:ascii="Courier New" w:cs="Courier New" w:eastAsia="Courier New" w:hAnsi="Courier New"/>
                <w:color w:val="EAF1FD"/>
                <w:sz w:val="18"/>
                <w:szCs w:val="18"/>
              </w:rPr>
              <w:t xml:space="preserve">      "type": "object",</w:t>
            </w:r>
          </w:p>
          <w:p>
            <w:pPr>
              <w:spacing w:after="20"/>
            </w:pPr>
            <w:r>
              <w:rPr>
                <w:rFonts w:ascii="Courier New" w:cs="Courier New" w:eastAsia="Courier New" w:hAnsi="Courier New"/>
                <w:color w:val="EAF1FD"/>
                <w:sz w:val="18"/>
                <w:szCs w:val="18"/>
              </w:rPr>
              <w:t xml:space="preserve">      "required": ["logging", "tracing", "metrics", "evalSuiteRef"],</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"logging": { "type": "object",</w:t>
            </w:r>
          </w:p>
          <w:p>
            <w:pPr>
              <w:spacing w:after="20"/>
            </w:pPr>
            <w:r>
              <w:rPr>
                <w:rFonts w:ascii="Courier New" w:cs="Courier New" w:eastAsia="Courier New" w:hAnsi="Courier New"/>
                <w:color w:val="EAF1FD"/>
                <w:sz w:val="18"/>
                <w:szCs w:val="18"/>
              </w:rPr>
              <w:t xml:space="preserve">          "required": ["level","destination"],</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"level": { "enum": ["debug","info","warn","error"] },</w:t>
            </w:r>
          </w:p>
          <w:p>
            <w:pPr>
              <w:spacing w:after="20"/>
            </w:pPr>
            <w:r>
              <w:rPr>
                <w:rFonts w:ascii="Courier New" w:cs="Courier New" w:eastAsia="Courier New" w:hAnsi="Courier New"/>
                <w:color w:val="EAF1FD"/>
                <w:sz w:val="18"/>
                <w:szCs w:val="18"/>
              </w:rPr>
              <w:t xml:space="preserve">            "destination": { "type": "string" },</w:t>
            </w:r>
          </w:p>
          <w:p>
            <w:pPr>
              <w:spacing w:after="20"/>
            </w:pPr>
            <w:r>
              <w:rPr>
                <w:rFonts w:ascii="Courier New" w:cs="Courier New" w:eastAsia="Courier New" w:hAnsi="Courier New"/>
                <w:color w:val="EAF1FD"/>
                <w:sz w:val="18"/>
                <w:szCs w:val="18"/>
              </w:rPr>
              <w:t xml:space="preserve">            "fields": { "type": "array", "items": { "type": "string" } } } },</w:t>
            </w:r>
          </w:p>
          <w:p>
            <w:pPr>
              <w:spacing w:after="20"/>
            </w:pPr>
            <w:r>
              <w:rPr>
                <w:rFonts w:ascii="Courier New" w:cs="Courier New" w:eastAsia="Courier New" w:hAnsi="Courier New"/>
                <w:color w:val="EAF1FD"/>
                <w:sz w:val="18"/>
                <w:szCs w:val="18"/>
              </w:rPr>
              <w:t xml:space="preserve">        "tracing": { "type": "object",</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"enabled": { "type": "boolean" },</w:t>
            </w:r>
          </w:p>
          <w:p>
            <w:pPr>
              <w:spacing w:after="20"/>
            </w:pPr>
            <w:r>
              <w:rPr>
                <w:rFonts w:ascii="Courier New" w:cs="Courier New" w:eastAsia="Courier New" w:hAnsi="Courier New"/>
                <w:color w:val="EAF1FD"/>
                <w:sz w:val="18"/>
                <w:szCs w:val="18"/>
              </w:rPr>
              <w:t xml:space="preserve">            "propagation": { "type": "string" } } },</w:t>
            </w:r>
          </w:p>
          <w:p>
            <w:pPr>
              <w:spacing w:after="20"/>
            </w:pPr>
            <w:r>
              <w:rPr>
                <w:rFonts w:ascii="Courier New" w:cs="Courier New" w:eastAsia="Courier New" w:hAnsi="Courier New"/>
                <w:color w:val="EAF1FD"/>
                <w:sz w:val="18"/>
                <w:szCs w:val="18"/>
              </w:rPr>
              <w:t xml:space="preserve">        "metrics": { "type": "array", "items": { "type": "string" } },</w:t>
            </w:r>
          </w:p>
          <w:p>
            <w:pPr>
              <w:spacing w:after="20"/>
            </w:pPr>
            <w:r>
              <w:rPr>
                <w:rFonts w:ascii="Courier New" w:cs="Courier New" w:eastAsia="Courier New" w:hAnsi="Courier New"/>
                <w:color w:val="EAF1FD"/>
                <w:sz w:val="18"/>
                <w:szCs w:val="18"/>
              </w:rPr>
              <w:t xml:space="preserve">        "evalSuiteRef": { "type": "string"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"ErrorHandling": {</w:t>
            </w:r>
          </w:p>
          <w:p>
            <w:pPr>
              <w:spacing w:after="20"/>
            </w:pPr>
            <w:r>
              <w:rPr>
                <w:rFonts w:ascii="Courier New" w:cs="Courier New" w:eastAsia="Courier New" w:hAnsi="Courier New"/>
                <w:color w:val="EAF1FD"/>
                <w:sz w:val="18"/>
                <w:szCs w:val="18"/>
              </w:rPr>
              <w:t xml:space="preserve">      "type": "object",</w:t>
            </w:r>
          </w:p>
          <w:p>
            <w:pPr>
              <w:spacing w:after="20"/>
            </w:pPr>
            <w:r>
              <w:rPr>
                <w:rFonts w:ascii="Courier New" w:cs="Courier New" w:eastAsia="Courier New" w:hAnsi="Courier New"/>
                <w:color w:val="EAF1FD"/>
                <w:sz w:val="18"/>
                <w:szCs w:val="18"/>
              </w:rPr>
              <w:t xml:space="preserve">      "required": ["onToolFailure", "onTimeout", "onLowConfidence"],</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"onToolFailure": { "enum": ["retry","fallback","escalate","abort"] },</w:t>
            </w:r>
          </w:p>
          <w:p>
            <w:pPr>
              <w:spacing w:after="20"/>
            </w:pPr>
            <w:r>
              <w:rPr>
                <w:rFonts w:ascii="Courier New" w:cs="Courier New" w:eastAsia="Courier New" w:hAnsi="Courier New"/>
                <w:color w:val="EAF1FD"/>
                <w:sz w:val="18"/>
                <w:szCs w:val="18"/>
              </w:rPr>
              <w:t xml:space="preserve">        "onTimeout": { "enum": ["retry","fallback","escalate","abort"] },</w:t>
            </w:r>
          </w:p>
          <w:p>
            <w:pPr>
              <w:spacing w:after="20"/>
            </w:pPr>
            <w:r>
              <w:rPr>
                <w:rFonts w:ascii="Courier New" w:cs="Courier New" w:eastAsia="Courier New" w:hAnsi="Courier New"/>
                <w:color w:val="EAF1FD"/>
                <w:sz w:val="18"/>
                <w:szCs w:val="18"/>
              </w:rPr>
              <w:t xml:space="preserve">        "onLowConfidence": { "enum": ["fallback","escalate","abstain"] },</w:t>
            </w:r>
          </w:p>
          <w:p>
            <w:pPr>
              <w:spacing w:after="20"/>
            </w:pPr>
            <w:r>
              <w:rPr>
                <w:rFonts w:ascii="Courier New" w:cs="Courier New" w:eastAsia="Courier New" w:hAnsi="Courier New"/>
                <w:color w:val="EAF1FD"/>
                <w:sz w:val="18"/>
                <w:szCs w:val="18"/>
              </w:rPr>
              <w:t xml:space="preserve">        "fallbackResponse": { "type": "string" },</w:t>
            </w:r>
          </w:p>
          <w:p>
            <w:pPr>
              <w:spacing w:after="20"/>
            </w:pPr>
            <w:r>
              <w:rPr>
                <w:rFonts w:ascii="Courier New" w:cs="Courier New" w:eastAsia="Courier New" w:hAnsi="Courier New"/>
                <w:color w:val="EAF1FD"/>
                <w:sz w:val="18"/>
                <w:szCs w:val="18"/>
              </w:rPr>
              <w:t xml:space="preserve">        "confidenceThreshold": { "type": "number", "minimum": 0, "maximum": 1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"Deployment": {</w:t>
            </w:r>
          </w:p>
          <w:p>
            <w:pPr>
              <w:spacing w:after="20"/>
            </w:pPr>
            <w:r>
              <w:rPr>
                <w:rFonts w:ascii="Courier New" w:cs="Courier New" w:eastAsia="Courier New" w:hAnsi="Courier New"/>
                <w:color w:val="EAF1FD"/>
                <w:sz w:val="18"/>
                <w:szCs w:val="18"/>
              </w:rPr>
              <w:t xml:space="preserve">      "type": "object",</w:t>
            </w:r>
          </w:p>
          <w:p>
            <w:pPr>
              <w:spacing w:after="20"/>
            </w:pPr>
            <w:r>
              <w:rPr>
                <w:rFonts w:ascii="Courier New" w:cs="Courier New" w:eastAsia="Courier New" w:hAnsi="Courier New"/>
                <w:color w:val="EAF1FD"/>
                <w:sz w:val="18"/>
                <w:szCs w:val="18"/>
              </w:rPr>
              <w:t xml:space="preserve">      "required": ["environments", "rolloutStrategy", "changeHistoryRef"],</w:t>
            </w:r>
          </w:p>
          <w:p>
            <w:pPr>
              <w:spacing w:after="20"/>
            </w:pPr>
            <w:r>
              <w:rPr>
                <w:rFonts w:ascii="Courier New" w:cs="Courier New" w:eastAsia="Courier New" w:hAnsi="Courier New"/>
                <w:color w:val="EAF1FD"/>
                <w:sz w:val="18"/>
                <w:szCs w:val="18"/>
              </w:rPr>
              <w:t xml:space="preserve">      "properties": {</w:t>
            </w:r>
          </w:p>
          <w:p>
            <w:pPr>
              <w:spacing w:after="20"/>
            </w:pPr>
            <w:r>
              <w:rPr>
                <w:rFonts w:ascii="Courier New" w:cs="Courier New" w:eastAsia="Courier New" w:hAnsi="Courier New"/>
                <w:color w:val="EAF1FD"/>
                <w:sz w:val="18"/>
                <w:szCs w:val="18"/>
              </w:rPr>
              <w:t xml:space="preserve">        "environments": { "type": "array",</w:t>
            </w:r>
          </w:p>
          <w:p>
            <w:pPr>
              <w:spacing w:after="20"/>
            </w:pPr>
            <w:r>
              <w:rPr>
                <w:rFonts w:ascii="Courier New" w:cs="Courier New" w:eastAsia="Courier New" w:hAnsi="Courier New"/>
                <w:color w:val="EAF1FD"/>
                <w:sz w:val="18"/>
                <w:szCs w:val="18"/>
              </w:rPr>
              <w:t xml:space="preserve">          "items": { "enum": ["dev","staging","production"] } },</w:t>
            </w:r>
          </w:p>
          <w:p>
            <w:pPr>
              <w:spacing w:after="20"/>
            </w:pPr>
            <w:r>
              <w:rPr>
                <w:rFonts w:ascii="Courier New" w:cs="Courier New" w:eastAsia="Courier New" w:hAnsi="Courier New"/>
                <w:color w:val="EAF1FD"/>
                <w:sz w:val="18"/>
                <w:szCs w:val="18"/>
              </w:rPr>
              <w:t xml:space="preserve">        "rolloutStrategy": { "enum": ["canary","blue-green","direct"] },</w:t>
            </w:r>
          </w:p>
          <w:p>
            <w:pPr>
              <w:spacing w:after="20"/>
            </w:pPr>
            <w:r>
              <w:rPr>
                <w:rFonts w:ascii="Courier New" w:cs="Courier New" w:eastAsia="Courier New" w:hAnsi="Courier New"/>
                <w:color w:val="EAF1FD"/>
                <w:sz w:val="18"/>
                <w:szCs w:val="18"/>
              </w:rPr>
              <w:t xml:space="preserve">        "compatibility": { "type": "string" },</w:t>
            </w:r>
          </w:p>
          <w:p>
            <w:pPr>
              <w:spacing w:after="20"/>
            </w:pPr>
            <w:r>
              <w:rPr>
                <w:rFonts w:ascii="Courier New" w:cs="Courier New" w:eastAsia="Courier New" w:hAnsi="Courier New"/>
                <w:color w:val="EAF1FD"/>
                <w:sz w:val="18"/>
                <w:szCs w:val="18"/>
              </w:rPr>
              <w:t xml:space="preserve">        "changeHistoryRef": { "type": "string" },</w:t>
            </w:r>
          </w:p>
          <w:p>
            <w:pPr>
              <w:spacing w:after="20"/>
            </w:pPr>
            <w:r>
              <w:rPr>
                <w:rFonts w:ascii="Courier New" w:cs="Courier New" w:eastAsia="Courier New" w:hAnsi="Courier New"/>
                <w:color w:val="EAF1FD"/>
                <w:sz w:val="18"/>
                <w:szCs w:val="18"/>
              </w:rPr>
              <w:t xml:space="preserve">        "approvalRequired": { "type": "boolean"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  }</w:t>
            </w:r>
          </w:p>
          <w:p>
            <w:pPr>
              <w:spacing w:after="20"/>
            </w:pPr>
            <w:r>
              <w:rPr>
                <w:rFonts w:ascii="Courier New" w:cs="Courier New" w:eastAsia="Courier New" w:hAnsi="Courier New"/>
                <w:color w:val="EAF1FD"/>
                <w:sz w:val="18"/>
                <w:szCs w:val="18"/>
              </w:rPr>
              <w:t xml:space="preserve">}</w:t>
            </w:r>
          </w:p>
        </w:tc>
      </w:tr>
    </w:tbl>
    <w:p>
      <w:pPr>
        <w:spacing w:after="200"/>
      </w:pPr>
    </w:p>
    <w:tbl>
      <w:tblPr>
        <w:tblW w:type="dxa" w:w="9360"/>
        <w:tblBorders>
          <w:top w:val="single" w:color="1E2761" w:sz="4"/>
          <w:left w:val="single" w:color="1E2761" w:sz="4"/>
          <w:bottom w:val="single" w:color="1E2761" w:sz="4"/>
          <w:right w:val="single" w:color="1E2761" w:sz="4"/>
          <w:insideH w:val="single" w:color="auto" w:sz="4"/>
          <w:insideV w:val="single" w:color="auto" w:sz="4"/>
        </w:tblBorders>
      </w:tblPr>
      <w:tblGrid>
        <w:gridCol w:w="100"/>
      </w:tblGrid>
      <w:tr>
        <w:tc>
          <w:tcPr>
            <w:tcW w:type="dxa" w:w="9360"/>
            <w:shd w:fill="EAF1FD" w:val="clear"/>
            <w:tcMar>
              <w:top w:type="dxa" w:w="160"/>
              <w:left w:type="dxa" w:w="200"/>
              <w:bottom w:type="dxa" w:w="160"/>
              <w:right w:type="dxa" w:w="200"/>
            </w:tcMar>
          </w:tcPr>
          <w:p>
            <w:r>
              <w:rPr>
                <w:rFonts w:ascii="Calibri" w:cs="Calibri" w:eastAsia="Calibri" w:hAnsi="Calibri"/>
                <w:i/>
                <w:iCs/>
                <w:color w:val="141B4D"/>
                <w:sz w:val="21"/>
                <w:szCs w:val="21"/>
              </w:rPr>
              <w:t xml:space="preserve">Policy rules referenced in Section 7.2b (e.g. “write-side-effect tools require humanInLoop.checkpoints”) are intentionally not encoded here. They are enforced as a separate validation pass so they can be reasoned about, tested, and evolved independently of the document-structure schema.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outlineLvl w:val="0"/>
    </w:pPr>
    <w:rPr>
      <w:rFonts w:ascii="Cambria" w:cs="Cambria" w:eastAsia="Cambria" w:hAnsi="Cambria"/>
      <w:b/>
      <w:bCs/>
      <w:color w:val="141B4D"/>
      <w:sz w:val="34"/>
      <w:szCs w:val="34"/>
    </w:rPr>
  </w:style>
  <w:style w:type="paragraph" w:styleId="Heading2">
    <w:name w:val="Heading 2"/>
    <w:basedOn w:val="Normal"/>
    <w:next w:val="Normal"/>
    <w:qFormat/>
    <w:pPr>
      <w:spacing w:after="140" w:before="340"/>
      <w:outlineLvl w:val="1"/>
    </w:pPr>
    <w:rPr>
      <w:rFonts w:ascii="Cambria" w:cs="Cambria" w:eastAsia="Cambria" w:hAnsi="Cambria"/>
      <w:b/>
      <w:bCs/>
      <w:color w:val="1E2761"/>
      <w:sz w:val="27"/>
      <w:szCs w:val="27"/>
    </w:rPr>
  </w:style>
  <w:style w:type="paragraph" w:styleId="Heading3">
    <w:name w:val="Heading 3"/>
    <w:basedOn w:val="Normal"/>
    <w:next w:val="Normal"/>
    <w:qFormat/>
    <w:pPr>
      <w:spacing w:after="100" w:before="240"/>
      <w:outlineLvl w:val="2"/>
    </w:pPr>
    <w:rPr>
      <w:rFonts w:ascii="Calibri" w:cs="Calibri" w:eastAsia="Calibri" w:hAnsi="Calibri"/>
      <w:b/>
      <w:bCs/>
      <w:color w:val="1E2761"/>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2026-07-25T01:34:49.906Z</dcterms:created>
  <dcterms:modified xsi:type="dcterms:W3CDTF">2026-07-25T01:34:49.907Z</dcterms:modified>
</cp:coreProperties>
</file>

<file path=docProps/custom.xml><?xml version="1.0" encoding="utf-8"?>
<Properties xmlns="http://schemas.openxmlformats.org/officeDocument/2006/custom-properties" xmlns:vt="http://schemas.openxmlformats.org/officeDocument/2006/docPropsVTypes"/>
</file>