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Basic Go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Types and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is statically typed. Statically typed is a methodology for language design aiming to provide clarity and reduce confusing syntax and unexpected side 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 allows  no mixing of numeric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var k float64 = 3.1634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var m  int 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var result = k+m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// invalid operation: k + m (mismatched types float64 and 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var result2 = k*m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// invalid operation: k * m (mismatched types float64 and 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shd w:fill="e0ebf5" w:val="clear"/>
          <w:rtl w:val="0"/>
        </w:rPr>
        <w:t xml:space="preserve">The Go Playground  https://play.golang.org/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Constants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is a keyword introducing a name for a scalar value, a simple, unchanging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const  str = "Hello"  //  str := string "Hello"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tl w:val="0"/>
        </w:rPr>
        <w:t xml:space="preserve">  is  an untyped string constant,   just a value, not given a defined type that would force it to obey the strict rules that prevent combining differently typed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str :=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we are not declaring the type, every constant value has a default type implicitly transferred when none is provided, here it is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 imports we can aggregate are const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const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GET    = "GET"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POST   = "POST"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We can create our own types using Interfaces, this is the subject of this topic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Interface types represent a fixed sets of methods.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interface variable can store any concrete (non-interface) value as long as that value implements the interface's methods.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Handler interface {</w:t>
        <w:br w:type="textWrapping"/>
        <w:t xml:space="preserve">    ServeHTTP(ResponseWriter, *Request)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extremely important example of an interface type is the empty interface: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interface{}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represents the empty set of methods and is satisfied by any value at all, since any value has zero or more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18"/>
          <w:szCs w:val="18"/>
          <w:rtl w:val="0"/>
        </w:rPr>
        <w:t xml:space="preserve">// Get Supported is the interface that provides the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18"/>
          <w:szCs w:val="18"/>
          <w:rtl w:val="0"/>
        </w:rPr>
        <w:t xml:space="preserve">// method a resource must support to receive HTTP GETs.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GetSupported interface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Get(url.Values, http.Header) (int, interface{}, http.Header)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8"/>
          <w:szCs w:val="18"/>
          <w:rtl w:val="0"/>
        </w:rPr>
        <w:t xml:space="preserve">// Post Supported is the interface that provides the 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8"/>
          <w:szCs w:val="18"/>
          <w:rtl w:val="0"/>
        </w:rPr>
        <w:t xml:space="preserve">// method a resource must support to receive HTTP POSTs.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PostSupported interface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Post(url.Values, http.Header) (int, interface{}, http.Header)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do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API struct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mux </w:t>
        <w:tab/>
        <w:t xml:space="preserve">*http.ServeMux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muxInitialized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highlight w:val="white"/>
          <w:rtl w:val="0"/>
        </w:rPr>
        <w:t xml:space="preserve">func (api *API) requestHandler(resource interface{}) http.HandlerFunc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highlight w:val="white"/>
          <w:rtl w:val="0"/>
        </w:rPr>
        <w:t xml:space="preserve">    return func(rw http.ResponseWriter, request *http.Request)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nsolas" w:cs="Consolas" w:eastAsia="Consolas" w:hAnsi="Consolas"/>
          <w:b w:val="1"/>
          <w:color w:val="ff00ff"/>
          <w:sz w:val="20"/>
          <w:szCs w:val="20"/>
          <w:rtl w:val="0"/>
        </w:rPr>
        <w:t xml:space="preserve">handler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func(url.Values, http.Header) (int, interface{}, http.Header)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switch request.Method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case GET: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  <w:t xml:space="preserve">if resource, ok := resource.(GetSupported); ok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f00ff"/>
          <w:sz w:val="20"/>
          <w:szCs w:val="20"/>
          <w:rtl w:val="0"/>
        </w:rPr>
        <w:t xml:space="preserve">handler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= resource.Get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case 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  <w:t xml:space="preserve">if resource, ok := resource.(PostSupported); ok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f00ff"/>
          <w:sz w:val="20"/>
          <w:szCs w:val="20"/>
          <w:rtl w:val="0"/>
        </w:rPr>
        <w:t xml:space="preserve">handler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= resource.Post</w:t>
        <w:tab/>
        <w:t xml:space="preserve">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see that while </w:t>
      </w:r>
      <w:r w:rsidDel="00000000" w:rsidR="00000000" w:rsidRPr="00000000">
        <w:rPr>
          <w:rtl w:val="0"/>
        </w:rPr>
        <w:t xml:space="preserve"> Go's interfaces are not dynamically typed,</w:t>
      </w:r>
      <w:r w:rsidDel="00000000" w:rsidR="00000000" w:rsidRPr="00000000">
        <w:rPr>
          <w:rtl w:val="0"/>
        </w:rPr>
        <w:t xml:space="preserve"> the value stored in the interface variable may change type,  that value will always satisfy</w:t>
      </w:r>
      <w:r w:rsidDel="00000000" w:rsidR="00000000" w:rsidRPr="00000000">
        <w:rPr>
          <w:rtl w:val="0"/>
        </w:rPr>
        <w:t xml:space="preserve"> the interface because an empty interface can hold any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important detail is that the pair inside an interface always has the form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(value, concrete type) and cannot have the form (value, interface type).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Interfaces do not hold interface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Since almost anything can have methods attached, almost anything can satisfy an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https://golang.org/doc/effective_go.html#interfaces_and_types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an important syntax we need to learn as it is the basis for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0"/>
        </w:rPr>
        <w:t xml:space="preserve"> package types implementation and behaviour.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Type Binding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API struct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mux </w:t>
        <w:tab/>
        <w:t xml:space="preserve">*http.ServeMux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muxInitialized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binding struct            input function parameters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(api *API) AddResource(resource interface{}, paths ...string)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for _, path := range paths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</w:t>
        <w:tab/>
        <w:t xml:space="preserve"> api.Mux().HandleFunc(path, api.requestHandler(resource))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 we can employ the ‘empty’  strategy using structs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a71d5d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d6a4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71d5d"/>
          <w:sz w:val="20"/>
          <w:szCs w:val="20"/>
          <w:highlight w:val="whit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func (</w:t>
      </w:r>
      <w:r w:rsidDel="00000000" w:rsidR="00000000" w:rsidRPr="00000000">
        <w:rPr>
          <w:rFonts w:ascii="Consolas" w:cs="Consolas" w:eastAsia="Consolas" w:hAnsi="Consolas"/>
          <w:b w:val="1"/>
          <w:color w:val="ed6a4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d6a4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) Get(values url.Values, headers http.Header) (int, interface{}, http.Header)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items := []string{"item1", "item2"}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data := map[string][]string{"items": items}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return 200, data, http.Header{"Content-type": {"application/json"}}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ed6a4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a71d5d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d6a4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api  </w:t>
      </w:r>
      <w:r w:rsidDel="00000000" w:rsidR="00000000" w:rsidRPr="00000000">
        <w:rPr>
          <w:rFonts w:ascii="Consolas" w:cs="Consolas" w:eastAsia="Consolas" w:hAnsi="Consolas"/>
          <w:b w:val="1"/>
          <w:color w:val="a71d5d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API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api.AddResource(</w:t>
      </w:r>
      <w:r w:rsidDel="00000000" w:rsidR="00000000" w:rsidRPr="00000000">
        <w:rPr>
          <w:rFonts w:ascii="Consolas" w:cs="Consolas" w:eastAsia="Consolas" w:hAnsi="Consolas"/>
          <w:b w:val="1"/>
          <w:color w:val="ed6a4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, "/items")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lang.org/doc/effective_go.html#interfaces_and_types" TargetMode="External"/></Relationships>
</file>