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доклад</w:t>
      </w:r>
    </w:p>
    <w:p>
      <w:pPr>
        <w:pStyle w:val="Heading1"/>
      </w:pPr>
      <w:r>
        <w:t>Контент-анализ барьеров доступа негосударственных поставщиков социальных услуг к бюджетному финансированию</w:t>
      </w:r>
    </w:p>
    <w:p>
      <w:r>
        <w:t>Дата: 2026-06-13</w:t>
      </w:r>
    </w:p>
    <w:p>
      <w:r>
        <w:t>Для Российской академии наук, Совета по правам человека при Президенте Российской Федерации и федеральных органов исполнительной власти.</w:t>
      </w:r>
    </w:p>
    <w:p>
      <w:pPr>
        <w:pStyle w:val="Heading2"/>
      </w:pPr>
      <w:r>
        <w:t>1. Резюме</w:t>
      </w:r>
    </w:p>
    <w:p>
      <w:r>
        <w:t>По корпусу 271 высказываний (Российская Федерация (агрегированный корпус)) эксперты в подавляющем большинстве формулируют конкретные меры (203 выск., 75%) и описывают системные проблемы (25 выск., 9%). Позитивные оценки редки (12 выск.). Ключевые темы: Повышение тарифов (46), Гранты и субсидии (40), Снижение отчётности (39).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2. Проблема</w:t>
      </w:r>
    </w:p>
    <w:p>
      <w:r>
        <w:t>Негосударственные поставщики формально включены в систему 442-ФЗ, но экономически и административно уступают госучреждениям. Эксперты описывают скрытое неравенство: тарифы не покрывают затраты, выплаты задерживаются, лимиты и отчётность ограничивают доступ.</w:t>
      </w:r>
    </w:p>
    <w:p>
      <w:pPr>
        <w:pStyle w:val="Heading2"/>
      </w:pPr>
      <w:r>
        <w:t>3. Методика и проверка данных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r>
        <w:t>Объём полного корпуса: 271 высказываний.</w:t>
      </w:r>
    </w:p>
    <w:p>
      <w:pPr>
        <w:pStyle w:val="Heading2"/>
      </w:pPr>
      <w:r>
        <w:t>4. Результаты (общероссийский корпус)</w:t>
      </w:r>
    </w:p>
    <w:p>
      <w:r>
        <w:t>Тональность: позитив 12 (4.4%), конструктив 203 (74.9%), негатив 25 (9.2%), сомнение 31 (11.4%).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Тональность (полный корпус РФ)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Топ-10 тем (полный корпус РФ)</w:t>
      </w:r>
    </w:p>
    <w:p>
      <w:pPr>
        <w:pStyle w:val="Heading2"/>
      </w:pPr>
      <w:r>
        <w:t>5. Региональная разбивка (явные упоминания)</w:t>
      </w:r>
    </w:p>
    <w:p>
      <w:r>
        <w:t>• Свердловская область: 4 высказываний в региональном подкорпусе</w:t>
      </w:r>
    </w:p>
    <w:p>
      <w:r>
        <w:t>• Ставропольский край: 4 высказываний в региональном подкорпусе</w:t>
      </w:r>
    </w:p>
    <w:p>
      <w:r>
        <w:t>• Мурманская область: 4 высказываний в региональном подкорпусе</w:t>
      </w:r>
    </w:p>
    <w:p>
      <w:r>
        <w:t>• Ростовская область: 3 высказываний в региональном подкорпусе</w:t>
      </w:r>
    </w:p>
    <w:p>
      <w:r>
        <w:t>• Пензенская область: 3 высказываний в региональном подкорпусе</w:t>
      </w:r>
    </w:p>
    <w:p>
      <w:pPr>
        <w:pStyle w:val="Heading2"/>
      </w:pPr>
      <w:r>
        <w:t>6. Управленческие рекомендации</w:t>
      </w:r>
    </w:p>
    <w:p>
      <w:r>
        <w:t>1. Экономически обоснованные тарифы с автоматической индексацией.</w:t>
        <w:br/>
        <w:t>2. Авансирование и многолетние соглашения с НКО.</w:t>
        <w:br/>
        <w:t>3. Снижение отчётности и прозрачные конкурсы.</w:t>
        <w:br/>
        <w:t>4. Изменения 442-ФЗ и 189-ФЗ, устранение монополии РОИВ.</w:t>
        <w:br/>
        <w:t>5. Соцзаказ, ваучеры, доступ к СДУ.</w:t>
        <w:br/>
        <w:t>6. Имущественная поддержка и равные условия для НКО и госучреждений.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