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Обобщение: тематические коды и ранжирование</w:t>
      </w:r>
    </w:p>
    <w:p>
      <w:r>
        <w:t>Дата: 2026-06-13</w:t>
      </w:r>
    </w:p>
    <w:p>
      <w:r>
        <w:t>Корпус: 609 атомарных высказываний (из 271 исходных блоков ответов экспертов). Единица анализа — одна законченная мысль; составные ответы разбиты на отдельные строки.</w:t>
      </w:r>
    </w:p>
    <w:p>
      <w:pPr>
        <w:pStyle w:val="Heading1"/>
      </w:pPr>
      <w:r>
        <w:t>1. Список тематических кодов (10 шт.)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</w:t>
            </w:r>
          </w:p>
        </w:tc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НОРМА_442ФЗ</w:t>
            </w:r>
          </w:p>
        </w:tc>
        <w:tc>
          <w:tcPr>
            <w:tcW w:type="dxa" w:w="2880"/>
          </w:tcPr>
          <w:p>
            <w:r>
              <w:t>442-ФЗ и связанные акты</w:t>
            </w:r>
          </w:p>
        </w:tc>
        <w:tc>
          <w:tcPr>
            <w:tcW w:type="dxa" w:w="2880"/>
          </w:tcPr>
          <w:p>
            <w:r>
              <w:t>Изменение/уточнение ФЗ № 442-ФЗ и связанных актов для расширения доступа НКО.</w:t>
            </w:r>
          </w:p>
        </w:tc>
      </w:tr>
      <w:tr>
        <w:tc>
          <w:tcPr>
            <w:tcW w:type="dxa" w:w="2880"/>
          </w:tcPr>
          <w:p>
            <w:r>
              <w:t>КОНКУРС_ПРОЦЕДУРЫ</w:t>
            </w:r>
          </w:p>
        </w:tc>
        <w:tc>
          <w:tcPr>
            <w:tcW w:type="dxa" w:w="2880"/>
          </w:tcPr>
          <w:p>
            <w:r>
              <w:t>Конкурсы и процедуры</w:t>
            </w:r>
          </w:p>
        </w:tc>
        <w:tc>
          <w:tcPr>
            <w:tcW w:type="dxa" w:w="2880"/>
          </w:tcPr>
          <w:p>
            <w:r>
              <w:t>Упрощение конкурсов, снижение бюрократии, 44-ФЗ/223-ФЗ.</w:t>
            </w:r>
          </w:p>
        </w:tc>
      </w:tr>
      <w:tr>
        <w:tc>
          <w:tcPr>
            <w:tcW w:type="dxa" w:w="2880"/>
          </w:tcPr>
          <w:p>
            <w:r>
              <w:t>ТАРИФЫ_НОРМАТИВЫ</w:t>
            </w:r>
          </w:p>
        </w:tc>
        <w:tc>
          <w:tcPr>
            <w:tcW w:type="dxa" w:w="2880"/>
          </w:tcPr>
          <w:p>
            <w:r>
              <w:t>Тарифы и нормативы</w:t>
            </w:r>
          </w:p>
        </w:tc>
        <w:tc>
          <w:tcPr>
            <w:tcW w:type="dxa" w:w="2880"/>
          </w:tcPr>
          <w:p>
            <w:r>
              <w:t>Тарифы, подушевые нормативы, индексация финансирования соцуслуг.</w:t>
            </w:r>
          </w:p>
        </w:tc>
      </w:tr>
      <w:tr>
        <w:tc>
          <w:tcPr>
            <w:tcW w:type="dxa" w:w="2880"/>
          </w:tcPr>
          <w:p>
            <w:r>
              <w:t>РЕЕСТР_ПОСТАВЩИКОВ</w:t>
            </w:r>
          </w:p>
        </w:tc>
        <w:tc>
          <w:tcPr>
            <w:tcW w:type="dxa" w:w="2880"/>
          </w:tcPr>
          <w:p>
            <w:r>
              <w:t>Реестр поставщиков</w:t>
            </w:r>
          </w:p>
        </w:tc>
        <w:tc>
          <w:tcPr>
            <w:tcW w:type="dxa" w:w="2880"/>
          </w:tcPr>
          <w:p>
            <w:r>
              <w:t>Упрощение включения в реестр, прозрачные критерии.</w:t>
            </w:r>
          </w:p>
        </w:tc>
      </w:tr>
      <w:tr>
        <w:tc>
          <w:tcPr>
            <w:tcW w:type="dxa" w:w="2880"/>
          </w:tcPr>
          <w:p>
            <w:r>
              <w:t>ГАРАНТИИ_ОБЪЕМОВ</w:t>
            </w:r>
          </w:p>
        </w:tc>
        <w:tc>
          <w:tcPr>
            <w:tcW w:type="dxa" w:w="2880"/>
          </w:tcPr>
          <w:p>
            <w:r>
              <w:t>Гарантии объёмов</w:t>
            </w:r>
          </w:p>
        </w:tc>
        <w:tc>
          <w:tcPr>
            <w:tcW w:type="dxa" w:w="2880"/>
          </w:tcPr>
          <w:p>
            <w:r>
              <w:t>Гарантированный объём, многолетние контракты, авансирование, лимиты.</w:t>
            </w:r>
          </w:p>
        </w:tc>
      </w:tr>
      <w:tr>
        <w:tc>
          <w:tcPr>
            <w:tcW w:type="dxa" w:w="2880"/>
          </w:tcPr>
          <w:p>
            <w:r>
              <w:t>ОБУЧЕНИЕ_НКО</w:t>
            </w:r>
          </w:p>
        </w:tc>
        <w:tc>
          <w:tcPr>
            <w:tcW w:type="dxa" w:w="2880"/>
          </w:tcPr>
          <w:p>
            <w:r>
              <w:t>Обучение НКО</w:t>
            </w:r>
          </w:p>
        </w:tc>
        <w:tc>
          <w:tcPr>
            <w:tcW w:type="dxa" w:w="2880"/>
          </w:tcPr>
          <w:p>
            <w:r>
              <w:t>Обучение конкурсам, отчётности, юридическим требованиям.</w:t>
            </w:r>
          </w:p>
        </w:tc>
      </w:tr>
      <w:tr>
        <w:tc>
          <w:tcPr>
            <w:tcW w:type="dxa" w:w="2880"/>
          </w:tcPr>
          <w:p>
            <w:r>
              <w:t>ИНФОРМАЦИЯ_ПРОЗРАЧНОСТЬ</w:t>
            </w:r>
          </w:p>
        </w:tc>
        <w:tc>
          <w:tcPr>
            <w:tcW w:type="dxa" w:w="2880"/>
          </w:tcPr>
          <w:p>
            <w:r>
              <w:t>Информация и прозрачность</w:t>
            </w:r>
          </w:p>
        </w:tc>
        <w:tc>
          <w:tcPr>
            <w:tcW w:type="dxa" w:w="2880"/>
          </w:tcPr>
          <w:p>
            <w:r>
              <w:t>Информирование о конкурсах, критериях, планах финансирования.</w:t>
            </w:r>
          </w:p>
        </w:tc>
      </w:tr>
      <w:tr>
        <w:tc>
          <w:tcPr>
            <w:tcW w:type="dxa" w:w="2880"/>
          </w:tcPr>
          <w:p>
            <w:r>
              <w:t>ИНСТИТУТЫ_ПОДДЕРЖКИ</w:t>
            </w:r>
          </w:p>
        </w:tc>
        <w:tc>
          <w:tcPr>
            <w:tcW w:type="dxa" w:w="2880"/>
          </w:tcPr>
          <w:p>
            <w:r>
              <w:t>Институты поддержки</w:t>
            </w:r>
          </w:p>
        </w:tc>
        <w:tc>
          <w:tcPr>
            <w:tcW w:type="dxa" w:w="2880"/>
          </w:tcPr>
          <w:p>
            <w:r>
              <w:t>Ресурсные центры, опорные организации, грантовая поддержка.</w:t>
            </w:r>
          </w:p>
        </w:tc>
      </w:tr>
      <w:tr>
        <w:tc>
          <w:tcPr>
            <w:tcW w:type="dxa" w:w="2880"/>
          </w:tcPr>
          <w:p>
            <w:r>
              <w:t>МУНИЦИПАЛЬНЫЙ_УРОВЕНЬ</w:t>
            </w:r>
          </w:p>
        </w:tc>
        <w:tc>
          <w:tcPr>
            <w:tcW w:type="dxa" w:w="2880"/>
          </w:tcPr>
          <w:p>
            <w:r>
              <w:t>Муниципальный уровень</w:t>
            </w:r>
          </w:p>
        </w:tc>
        <w:tc>
          <w:tcPr>
            <w:tcW w:type="dxa" w:w="2880"/>
          </w:tcPr>
          <w:p>
            <w:r>
              <w:t>Практика на муниципальном уровне, решения администраций.</w:t>
            </w:r>
          </w:p>
        </w:tc>
      </w:tr>
      <w:tr>
        <w:tc>
          <w:tcPr>
            <w:tcW w:type="dxa" w:w="2880"/>
          </w:tcPr>
          <w:p>
            <w:r>
              <w:t>КОНКУРЕНЦИЯ_АНТИМОНОПОЛИЯ</w:t>
            </w:r>
          </w:p>
        </w:tc>
        <w:tc>
          <w:tcPr>
            <w:tcW w:type="dxa" w:w="2880"/>
          </w:tcPr>
          <w:p>
            <w:r>
              <w:t>Конкуренция и антимонополия</w:t>
            </w:r>
          </w:p>
        </w:tc>
        <w:tc>
          <w:tcPr>
            <w:tcW w:type="dxa" w:w="2880"/>
          </w:tcPr>
          <w:p>
            <w:r>
              <w:t>Борьба с монополией госучреждений, равные условия.</w:t>
            </w:r>
          </w:p>
        </w:tc>
      </w:tr>
    </w:tbl>
    <w:p>
      <w:pPr>
        <w:pStyle w:val="Heading1"/>
      </w:pPr>
      <w:r>
        <w:t>2. Ранжирование тем по упоминаемости</w:t>
      </w:r>
    </w:p>
    <w:p>
      <w:r>
        <w:t>Частота = число высказываний, в которых код = 1. Одно высказывание может иметь несколько кодов.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Ранг</w:t>
            </w:r>
          </w:p>
        </w:tc>
        <w:tc>
          <w:tcPr>
            <w:tcW w:type="dxa" w:w="1728"/>
          </w:tcPr>
          <w:p>
            <w:r>
              <w:t>Код</w:t>
            </w:r>
          </w:p>
        </w:tc>
        <w:tc>
          <w:tcPr>
            <w:tcW w:type="dxa" w:w="1728"/>
          </w:tcPr>
          <w:p>
            <w:r>
              <w:t>Название</w:t>
            </w:r>
          </w:p>
        </w:tc>
        <w:tc>
          <w:tcPr>
            <w:tcW w:type="dxa" w:w="1728"/>
          </w:tcPr>
          <w:p>
            <w:r>
              <w:t>Частота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ГАРАНТИИ_ОБЪЕМОВ</w:t>
            </w:r>
          </w:p>
        </w:tc>
        <w:tc>
          <w:tcPr>
            <w:tcW w:type="dxa" w:w="1728"/>
          </w:tcPr>
          <w:p>
            <w:r>
              <w:t>Гарантии объёмов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29.7%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ТАРИФЫ_НОРМАТИВЫ</w:t>
            </w:r>
          </w:p>
        </w:tc>
        <w:tc>
          <w:tcPr>
            <w:tcW w:type="dxa" w:w="1728"/>
          </w:tcPr>
          <w:p>
            <w:r>
              <w:t>Тарифы и нормативы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22.7%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ИНФОРМАЦИЯ_ПРОЗРАЧНОСТЬ</w:t>
            </w:r>
          </w:p>
        </w:tc>
        <w:tc>
          <w:tcPr>
            <w:tcW w:type="dxa" w:w="1728"/>
          </w:tcPr>
          <w:p>
            <w:r>
              <w:t>Информация и прозрачность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8.7%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КОНКУРС_ПРОЦЕДУРЫ</w:t>
            </w:r>
          </w:p>
        </w:tc>
        <w:tc>
          <w:tcPr>
            <w:tcW w:type="dxa" w:w="1728"/>
          </w:tcPr>
          <w:p>
            <w:r>
              <w:t>Конкурсы и процедуры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5.9%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НОРМА_442ФЗ</w:t>
            </w:r>
          </w:p>
        </w:tc>
        <w:tc>
          <w:tcPr>
            <w:tcW w:type="dxa" w:w="1728"/>
          </w:tcPr>
          <w:p>
            <w:r>
              <w:t>442-ФЗ и связанные акты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3.4%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КОНКУРЕНЦИЯ_АНТИМОНОПОЛИЯ</w:t>
            </w:r>
          </w:p>
        </w:tc>
        <w:tc>
          <w:tcPr>
            <w:tcW w:type="dxa" w:w="1728"/>
          </w:tcPr>
          <w:p>
            <w:r>
              <w:t>Конкуренция и антимонополия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3.3%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РЕЕСТР_ПОСТАВЩИКОВ</w:t>
            </w:r>
          </w:p>
        </w:tc>
        <w:tc>
          <w:tcPr>
            <w:tcW w:type="dxa" w:w="1728"/>
          </w:tcPr>
          <w:p>
            <w:r>
              <w:t>Реестр поставщиков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3.0%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ОБУЧЕНИЕ_НКО</w:t>
            </w:r>
          </w:p>
        </w:tc>
        <w:tc>
          <w:tcPr>
            <w:tcW w:type="dxa" w:w="1728"/>
          </w:tcPr>
          <w:p>
            <w:r>
              <w:t>Обучение НКО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2.6%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ИНСТИТУТЫ_ПОДДЕРЖКИ</w:t>
            </w:r>
          </w:p>
        </w:tc>
        <w:tc>
          <w:tcPr>
            <w:tcW w:type="dxa" w:w="1728"/>
          </w:tcPr>
          <w:p>
            <w:r>
              <w:t>Институты поддержки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2.1%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МУНИЦИПАЛЬНЫЙ_УРОВЕНЬ</w:t>
            </w:r>
          </w:p>
        </w:tc>
        <w:tc>
          <w:tcPr>
            <w:tcW w:type="dxa" w:w="1728"/>
          </w:tcPr>
          <w:p>
            <w:r>
              <w:t>Муниципальный уровень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2.0%</w:t>
            </w:r>
          </w:p>
        </w:tc>
      </w:tr>
    </w:tbl>
    <w:p>
      <w:pPr>
        <w:pStyle w:val="Heading1"/>
      </w:pPr>
      <w:r>
        <w:t>3. Тональные коды (3 шт.)</w:t>
      </w:r>
    </w:p>
    <w:p>
      <w:r>
        <w:t>• Позитив (ТОНИЧЕСКИЙ_ПОЗИТИВ): 12 (2.0%) — Позитивная оценка мер или перспектив.</w:t>
      </w:r>
    </w:p>
    <w:p>
      <w:r>
        <w:t>• Негатив (ТОНИЧЕСКИЙ_НЕГАТИВ): 539 (88.5%) — Критика, скепсис, описание проблем.</w:t>
      </w:r>
    </w:p>
    <w:p>
      <w:r>
        <w:t>• Сомнение (ТОНИЧЕСКИЙ_СОМНЕНИЕ): 58 (9.5%) — Затрудняюсь ответить, неопределённость.</w:t>
      </w:r>
    </w:p>
    <w:p>
      <w:pPr>
        <w:pStyle w:val="Heading1"/>
      </w:pPr>
      <w:r>
        <w:t>4. Ключевой вывод</w:t>
      </w:r>
    </w:p>
    <w:p>
      <w:r>
        <w:t>Наиболее часто упоминаются: Гарантии объёмов (181), Тарифы и нормативы (138), Информация и прозрачность (53). Эксперты концентрируются на тарифах/нормативах, объёмах финансирования и административных процедурах.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анжирование_те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