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Шпаргалка кодировщика (10 + 3 кода)</w:t>
      </w:r>
    </w:p>
    <w:p>
      <w:r>
        <w:t>Тематические коды — в одном высказывании может быть несколько «1».</w:t>
      </w:r>
    </w:p>
    <w:p>
      <w:pPr>
        <w:pStyle w:val="ListBullet"/>
      </w:pPr>
      <w:r>
        <w:t>НОРМА_442ФЗ: 442-ФЗ и связанные акты. Изменение/уточнение ФЗ № 442-ФЗ и связанных актов для расширения доступа НКО.</w:t>
      </w:r>
    </w:p>
    <w:p>
      <w:pPr>
        <w:pStyle w:val="ListBullet"/>
      </w:pPr>
      <w:r>
        <w:t>КОНКУРС_ПРОЦЕДУРЫ: Конкурсы и процедуры. Упрощение конкурсов, снижение бюрократии, 44-ФЗ/223-ФЗ.</w:t>
      </w:r>
    </w:p>
    <w:p>
      <w:pPr>
        <w:pStyle w:val="ListBullet"/>
      </w:pPr>
      <w:r>
        <w:t>ТАРИФЫ_НОРМАТИВЫ: Тарифы и нормативы. Тарифы, подушевые нормативы, индексация финансирования соцуслуг.</w:t>
      </w:r>
    </w:p>
    <w:p>
      <w:pPr>
        <w:pStyle w:val="ListBullet"/>
      </w:pPr>
      <w:r>
        <w:t>РЕЕСТР_ПОСТАВЩИКОВ: Реестр поставщиков. Упрощение включения в реестр, прозрачные критерии.</w:t>
      </w:r>
    </w:p>
    <w:p>
      <w:pPr>
        <w:pStyle w:val="ListBullet"/>
      </w:pPr>
      <w:r>
        <w:t>ГАРАНТИИ_ОБЪЕМОВ: Гарантии объёмов. Гарантированный объём, многолетние контракты, авансирование, лимиты.</w:t>
      </w:r>
    </w:p>
    <w:p>
      <w:pPr>
        <w:pStyle w:val="ListBullet"/>
      </w:pPr>
      <w:r>
        <w:t>ОБУЧЕНИЕ_НКО: Обучение НКО. Обучение конкурсам, отчётности, юридическим требованиям.</w:t>
      </w:r>
    </w:p>
    <w:p>
      <w:pPr>
        <w:pStyle w:val="ListBullet"/>
      </w:pPr>
      <w:r>
        <w:t>ИНФОРМАЦИЯ_ПРОЗРАЧНОСТЬ: Информация и прозрачность. Информирование о конкурсах, критериях, планах финансирования.</w:t>
      </w:r>
    </w:p>
    <w:p>
      <w:pPr>
        <w:pStyle w:val="ListBullet"/>
      </w:pPr>
      <w:r>
        <w:t>ИНСТИТУТЫ_ПОДДЕРЖКИ: Институты поддержки. Ресурсные центры, опорные организации, грантовая поддержка.</w:t>
      </w:r>
    </w:p>
    <w:p>
      <w:pPr>
        <w:pStyle w:val="ListBullet"/>
      </w:pPr>
      <w:r>
        <w:t>МУНИЦИПАЛЬНЫЙ_УРОВЕНЬ: Муниципальный уровень. Практика на муниципальном уровне, решения администраций.</w:t>
      </w:r>
    </w:p>
    <w:p>
      <w:pPr>
        <w:pStyle w:val="ListBullet"/>
      </w:pPr>
      <w:r>
        <w:t>КОНКУРЕНЦИЯ_АНТИМОНОПОЛИЯ: Конкуренция и антимонополия. Борьба с монополией госучреждений, равные условия.</w:t>
      </w:r>
    </w:p>
    <w:p>
      <w:r>
        <w:t>Тональность — только один код на высказывание:</w:t>
      </w:r>
    </w:p>
    <w:p>
      <w:pPr>
        <w:pStyle w:val="ListBullet"/>
      </w:pPr>
      <w:r>
        <w:t>ТОНИЧЕСКИЙ_ПОЗИТИВ: Позитив. Позитивная оценка мер или перспектив.</w:t>
      </w:r>
    </w:p>
    <w:p>
      <w:pPr>
        <w:pStyle w:val="ListBullet"/>
      </w:pPr>
      <w:r>
        <w:t>ТОНИЧЕСКИЙ_НЕГАТИВ: Негатив. Критика, скепсис, описание проблем.</w:t>
      </w:r>
    </w:p>
    <w:p>
      <w:pPr>
        <w:pStyle w:val="ListBullet"/>
      </w:pPr>
      <w:r>
        <w:t>ТОНИЧЕСКИЙ_СОМНЕНИЕ: Сомнение. Затрудняюсь ответить, неопределённость.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