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Корпус — Мурманская область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ID полного корпуса</w:t>
            </w:r>
          </w:p>
        </w:tc>
        <w:tc>
          <w:tcPr>
            <w:tcW w:type="dxa" w:w="2160"/>
          </w:tcPr>
          <w:p>
            <w:r>
              <w:t>Хеш</w:t>
            </w:r>
          </w:p>
        </w:tc>
        <w:tc>
          <w:tcPr>
            <w:tcW w:type="dxa" w:w="2160"/>
          </w:tcPr>
          <w:p>
            <w:r>
              <w:t>Текст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9d5ead779645e252</w:t>
            </w:r>
          </w:p>
        </w:tc>
        <w:tc>
          <w:tcPr>
            <w:tcW w:type="dxa" w:w="2160"/>
          </w:tcPr>
          <w:p>
            <w:r>
              <w:t>Расширить направления поддержки конкурса Грантов губернатора Мурманской области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133</w:t>
            </w:r>
          </w:p>
        </w:tc>
        <w:tc>
          <w:tcPr>
            <w:tcW w:type="dxa" w:w="2160"/>
          </w:tcPr>
          <w:p>
            <w:r>
              <w:t>2f21aaccc39c8e6a</w:t>
            </w:r>
          </w:p>
        </w:tc>
        <w:tc>
          <w:tcPr>
            <w:tcW w:type="dxa" w:w="2160"/>
          </w:tcPr>
          <w:p>
            <w:r>
              <w:t>Информирование НКО о социальных услугах и реестреинформирование потенциальных получателей и поставщиков. Информирование, уменьшение отчетностикачественное формирование ИППСУ согласно требованиям законодательства. В нашем регионе с некоторых пор отмечается сокращение количества доступных услуг для получателей, сокращение курсов реабилитационных (например, для инвалидов до 2-4 курсов в год, далее предлагают прийти продлить, что крайне не удобно для получателей, приводит к прерыванию курсов реабилитацию. Так же сокращают объем социально-медицинских услуг, ссылаясь на то, что медицинские услуги должны оказываться в учреждениях здравоохранения, сто так же нарушает права получателей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199</w:t>
            </w:r>
          </w:p>
        </w:tc>
        <w:tc>
          <w:tcPr>
            <w:tcW w:type="dxa" w:w="2160"/>
          </w:tcPr>
          <w:p>
            <w:r>
              <w:t>123362e83ef20861</w:t>
            </w:r>
          </w:p>
        </w:tc>
        <w:tc>
          <w:tcPr>
            <w:tcW w:type="dxa" w:w="2160"/>
          </w:tcPr>
          <w:p>
            <w:r>
              <w:t>При выполнение всех показателей, доведенных до поставщика социальных услуг, выделять бюджетные средства на другие статьи расходов помимо заработной платы, например такие как: коммунальные платежи, арендная плата, транспортные расходы, увеличение материально-технической базы. Так как тарифы на социальные услуги низкие и собственных средств организации не хватает для оплаты всех хозяйственных нужд организации. При расчете субсидии за основу берутся расходы прошлого года. Хотелось, чтобы учитывалась индексация по МРОТ и повышение тарифов на коммунальные расходы. Приблизить тарифы подушевого финансирования к реальной ситуации на рынке, тарифы в регионе не менялись с апреля 2022 года, за эти годы только по офицальным данным инфляция была более 25%, цены на все выросли примерно так же, поэтому сегодня оказание услуг ПСУ дофинансируется нами за счет доходов от коммерческой деятельности. Привлекать НКО к государственным программам социального обслуживания с привлечением бюджетного финансирования так же как муниципальные и другие организации. Применение 189 ФЗ на территории Мурманской области в сфере социального обслуживания, равное финансирование государственных и негосударственных учреждений, доступ к долговременному уходу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222</w:t>
            </w:r>
          </w:p>
        </w:tc>
        <w:tc>
          <w:tcPr>
            <w:tcW w:type="dxa" w:w="2160"/>
          </w:tcPr>
          <w:p>
            <w:r>
              <w:t>e8eb777ebf55be0a</w:t>
            </w:r>
          </w:p>
        </w:tc>
        <w:tc>
          <w:tcPr>
            <w:tcW w:type="dxa" w:w="2160"/>
          </w:tcPr>
          <w:p>
            <w:r>
              <w:t>Слишком низкие тарифы в нашем регионе. Фактически компенсируется 30% понесенных затрат на оказания социальных услуг. Смена Губернатора, наверное. Для субсидирования НКО выделяются средства на Министерство труда и социальной защиты. Сколько выделили, столько и выставили на конкурс. По факту это менее 50 % от фактически понесенных затрат. Остальные средства,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