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Контекст проекта — Мурманская область</w:t>
      </w:r>
    </w:p>
    <w:p>
      <w:r>
        <w:t>Негосударственный сектор в Мурманская область работает в условиях формального равенства с госучреждениями, но эксперты фиксируют экономическое неравенство (тарифы, сроки выплат), административные барьеры и конфликт интересов РОИВ. Ключевой орган: Министерство социального развития Мурманской области.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