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Корпус — Пензенская область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 полного корпуса</w:t>
            </w:r>
          </w:p>
        </w:tc>
        <w:tc>
          <w:tcPr>
            <w:tcW w:type="dxa" w:w="2160"/>
          </w:tcPr>
          <w:p>
            <w:r>
              <w:t>Хеш</w:t>
            </w:r>
          </w:p>
        </w:tc>
        <w:tc>
          <w:tcPr>
            <w:tcW w:type="dxa" w:w="2160"/>
          </w:tcPr>
          <w:p>
            <w:r>
              <w:t>Текст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2f21aaccc39c8e6a</w:t>
            </w:r>
          </w:p>
        </w:tc>
        <w:tc>
          <w:tcPr>
            <w:tcW w:type="dxa" w:w="2160"/>
          </w:tcPr>
          <w:p>
            <w:r>
              <w:t>Информирование НКО о социальных услугах и реестреинформирование потенциальных получателей и поставщиков. Информирование, уменьшение отчетностикачественное формирование ИППСУ согласно требованиям законодательства. В нашем регионе с некоторых пор отмечается сокращение количества доступных услуг для получателей, сокращение курсов реабилитационных (например, для инвалидов до 2-4 курсов в год, далее предлагают прийти продлить, что крайне не удобно для получателей, приводит к прерыванию курсов реабилитацию. Так же сокращают объем социально-медицинских услуг, ссылаясь на то, что медицинские услуги должны оказываться в учреждениях здравоохранения, сто так же нарушает права получателей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b85900bc5d0712b4</w:t>
            </w:r>
          </w:p>
        </w:tc>
        <w:tc>
          <w:tcPr>
            <w:tcW w:type="dxa" w:w="2160"/>
          </w:tcPr>
          <w:p>
            <w:r>
              <w:t>Оперативное размещение более подробной информации о возможностях НКО и бюджетному финансированию, включение в практику регионов субсидий отдельным НКО на выполнение работ вместе с региональным грантам (в Пензенской области это есть, но в ряде регионов этого нет, либо НКО не имеют доступа к информации). Оплата арендной оплата отдельным финансированием для негосударственных поставщиков социальных услуг. Повышение тарифов по услугам. Введение единых форм признания в РФ для детей с ОВЗ и инвалидностью, единые требования медицинских документов и единый формат разработанных программ ИППСУ, чтобы исключить нарушение прав получателей. Организация программ подготовки и переподготовки специалистов для работы в негосударственных организациях, включая управленческие навыки, поможет повысить профессионализм поставщиков услуг. Открытая информация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e8eb777ebf55be0a</w:t>
            </w:r>
          </w:p>
        </w:tc>
        <w:tc>
          <w:tcPr>
            <w:tcW w:type="dxa" w:w="2160"/>
          </w:tcPr>
          <w:p>
            <w:r>
              <w:t>Слишком низкие тарифы в нашем регионе. Фактически компенсируется 30% понесенных затрат на оказания социальных услуг. Смена Губернатора, наверное. Для субсидирования НКО выделяются средства на Министерство труда и социальной защиты. Сколько выделили, столько и выставили на конкурс. По факту это менее 50 % от фактически понесенных затрат. Остальные средства,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