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Корпус — Свердловская область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 полного корпуса</w:t>
            </w:r>
          </w:p>
        </w:tc>
        <w:tc>
          <w:tcPr>
            <w:tcW w:type="dxa" w:w="2160"/>
          </w:tcPr>
          <w:p>
            <w:r>
              <w:t>Хеш</w:t>
            </w:r>
          </w:p>
        </w:tc>
        <w:tc>
          <w:tcPr>
            <w:tcW w:type="dxa" w:w="2160"/>
          </w:tcPr>
          <w:p>
            <w:r>
              <w:t>Текст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e3f457450176fc64</w:t>
            </w:r>
          </w:p>
        </w:tc>
        <w:tc>
          <w:tcPr>
            <w:tcW w:type="dxa" w:w="2160"/>
          </w:tcPr>
          <w:p>
            <w:r>
              <w:t>Распределение властных полномочий между ведомствами. В Свердловской области Министерство социальной политики является одновременно заказчиком соц.услуг, проверяющим и оплачивающим эти социальные услуги. То есть кому надо они закажу, оплатят и проверят. А кто им неугоден, тот не получит возможности оказы 1.масштабирование 2.справедливые тарифы 3.повышение финансовой грамотности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9601bed80e02d5fb</w:t>
            </w:r>
          </w:p>
        </w:tc>
        <w:tc>
          <w:tcPr>
            <w:tcW w:type="dxa" w:w="2160"/>
          </w:tcPr>
          <w:p>
            <w:r>
              <w:t>Адекватное функционирование и работу Министерства социальной политики Екатеринбурга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2f21aaccc39c8e6a</w:t>
            </w:r>
          </w:p>
        </w:tc>
        <w:tc>
          <w:tcPr>
            <w:tcW w:type="dxa" w:w="2160"/>
          </w:tcPr>
          <w:p>
            <w:r>
              <w:t>Информирование НКО о социальных услугах и реестреинформирование потенциальных получателей и поставщиков. Информирование, уменьшение отчетностикачественное формирование ИППСУ согласно требованиям законодательства. В нашем регионе с некоторых пор отмечается сокращение количества доступных услуг для получателей, сокращение курсов реабилитационных (например, для инвалидов до 2-4 курсов в год, далее предлагают прийти продлить, что крайне не удобно для получателей, приводит к прерыванию курсов реабилитацию. Так же сокращают объем социально-медицинских услуг, ссылаясь на то, что медицинские услуги должны оказываться в учреждениях здравоохранения, сто так же нарушает права получателей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e8eb777ebf55be0a</w:t>
            </w:r>
          </w:p>
        </w:tc>
        <w:tc>
          <w:tcPr>
            <w:tcW w:type="dxa" w:w="2160"/>
          </w:tcPr>
          <w:p>
            <w:r>
              <w:t>Слишком низкие тарифы в нашем регионе. Фактически компенсируется 30% понесенных затрат на оказания социальных услуг. Смена Губернатора, наверное. Для субсидирования НКО выделяются средства на Министерство труда и социальной защиты. Сколько выделили, столько и выставили на конкурс. По факту это менее 50 % от фактически понесенных затрат. Остальные средства,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