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— Ставропольский край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 полного корпуса</w:t>
            </w:r>
          </w:p>
        </w:tc>
        <w:tc>
          <w:tcPr>
            <w:tcW w:type="dxa" w:w="2160"/>
          </w:tcPr>
          <w:p>
            <w:r>
              <w:t>Хеш</w:t>
            </w:r>
          </w:p>
        </w:tc>
        <w:tc>
          <w:tcPr>
            <w:tcW w:type="dxa" w:w="2160"/>
          </w:tcPr>
          <w:p>
            <w:r>
              <w:t>Текст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2f21aaccc39c8e6a</w:t>
            </w:r>
          </w:p>
        </w:tc>
        <w:tc>
          <w:tcPr>
            <w:tcW w:type="dxa" w:w="2160"/>
          </w:tcPr>
          <w:p>
            <w:r>
              <w:t>Информирование НКО о социальных услугах и реестреинформирование потенциальных получателей и поставщиков. Информирование, уменьшение отчетностикачественное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6ff230af9ae75069</w:t>
            </w:r>
          </w:p>
        </w:tc>
        <w:tc>
          <w:tcPr>
            <w:tcW w:type="dxa" w:w="2160"/>
          </w:tcPr>
          <w:p>
            <w:r>
              <w:t>без процентного соотношения. Устойчивым НКО выделение субсидий на постоянной основе без проведения конкурса. Увеличение суммы возмещения НКО в нашем регионе (Ставропольский край)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e8eb777ebf55be0a</w:t>
            </w:r>
          </w:p>
        </w:tc>
        <w:tc>
          <w:tcPr>
            <w:tcW w:type="dxa" w:w="2160"/>
          </w:tcPr>
          <w:p>
            <w:r>
              <w:t>Слишком низкие тарифы в нашем регионе. Фактически компенсируется 30% понесенных затрат на оказания социальных услуг. Смена Губернатора, наверное.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средства,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b0dd2003a38ed66e</w:t>
            </w:r>
          </w:p>
        </w:tc>
        <w:tc>
          <w:tcPr>
            <w:tcW w:type="dxa" w:w="2160"/>
          </w:tcPr>
          <w:p>
            <w:r>
              <w:t>"высокоморальные", в основном, это следствие личных историй. В Ставропольском крае губернатор выбирает "уличную культуру" выделяя десятки и сотни миллионов, а социалка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