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Контент-анализ доступа НКО к бюджетному финансированию — Ставропольский край</w:t>
      </w:r>
    </w:p>
    <w:p>
      <w:r>
        <w:t>Дата подготовки: 2026-06-13</w:t>
      </w:r>
    </w:p>
    <w:p>
      <w:r>
        <w:t>Материалы для Российской академии наук, Совета по правам человека при Президенте РФ и органов исполнительной власти.</w:t>
      </w:r>
    </w:p>
    <w:p>
      <w:pPr>
        <w:pStyle w:val="Heading2"/>
      </w:pPr>
      <w:r>
        <w:t>Резюме для принятия управленческих решений</w:t>
      </w:r>
    </w:p>
    <w:p>
      <w:r>
        <w:t>По корпусу 4 высказываний (Ставропольский край) эксперты в подавляющем большинстве формулируют конкретные меры (4 выск., 100%) и описывают системные проблемы (0 выск., 0%). Позитивные оценки редки (0 выск.). Ключевые темы: Гранты и субсидии (2), Конкурсы (2), Повышение тарифов (1). Формальный доступ к бюджетному финансированию не обеспечивает устойчивость НКО: заниженные тарифы, кассовые разрывы и административные барьеры сохраняются.</w:t>
      </w:r>
    </w:p>
    <w:p>
      <w:pPr>
        <w:pStyle w:val="Heading2"/>
      </w:pPr>
      <w:r>
        <w:t>Введение</w:t>
      </w:r>
    </w:p>
    <w:p>
      <w:r>
        <w:t>Настоящий отчёт — результаты контент-анализа ответов экспертов (негосударственные поставщики социальных услуг) на вопрос 72 анкеты. Контекст: федеральный закон № 442-ФЗ, законы и постановления Ставропольского края в сфере социального обслуживания. Региональный подкорпус: 4 высказываний; полный корпус РФ: 271 высказываний для перекрёстной проверки.</w:t>
      </w:r>
    </w:p>
    <w:p>
      <w:pPr>
        <w:pStyle w:val="Heading2"/>
      </w:pPr>
      <w:r>
        <w:t>Контекст проекта</w:t>
      </w:r>
    </w:p>
    <w:p>
      <w:r>
        <w:t>Негосударственный сектор в Ставропольский край работает в условиях формального равенства с госучреждениями, но эксперты фиксируют экономическое неравенство (тарифы, сроки выплат), административные барьеры и конфликт интересов РОИВ. Ключевой орган: Министерство труда и социальной защиты населения Ставропольского края.</w:t>
      </w:r>
    </w:p>
    <w:p>
      <w:pPr>
        <w:pStyle w:val="Heading2"/>
      </w:pPr>
      <w:r>
        <w:t>Методика и проверка достоверности</w:t>
      </w:r>
    </w:p>
    <w:p>
      <w:r>
        <w:t>Проверка достоверности данных:</w:t>
        <w:br/>
        <w:t>1. Первичный массив — файл «ТЗ контент.docx», блок «Высказывания».</w:t>
        <w:br/>
        <w:t>2. В Excel каждая строка на листе «Данные_регион» или «Данные_полный_корпус» содержит ID, ID_полного_корпуса, хеш текста (SHA-256, 16 символов) и полный текст.</w:t>
        <w:br/>
        <w:t>3. Лист «Коды» — расшифровка всех столбцов кодировочной матрицы.</w:t>
        <w:br/>
        <w:t>4. Листы «Итоги_*» — агрегаты, пересчитываемые из листа «Данные_регион».</w:t>
        <w:br/>
        <w:t>5. Диаграммы в отчёте и Excel соответствуют тем же агрегатам.</w:t>
        <w:br/>
        <w:t>6. Региональный подкорпус отделён от полного корпуса РФ — сравнение листов показывает, какие высказывания имеют явную региональную маркировку.</w:t>
      </w:r>
    </w:p>
    <w:p>
      <w:pPr>
        <w:pStyle w:val="Heading2"/>
      </w:pPr>
      <w:r>
        <w:t>Результаты: тональность</w:t>
      </w:r>
    </w:p>
    <w:p>
      <w:r>
        <w:t>• Позитив: 0 (0.0%)</w:t>
      </w:r>
    </w:p>
    <w:p>
      <w:r>
        <w:t>• Конструктивные предложения: 4 (100.0%)</w:t>
      </w:r>
    </w:p>
    <w:p>
      <w:r>
        <w:t>• Негатив / критика: 0 (0.0%)</w:t>
      </w:r>
    </w:p>
    <w:p>
      <w:r>
        <w:t>• Сомнение: 0 (0.0%)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Рис. 1. Распределение высказываний по тональности (региональный подкорпус)</w:t>
      </w:r>
    </w:p>
    <w:p>
      <w:pPr>
        <w:pStyle w:val="Heading2"/>
      </w:pPr>
      <w:r>
        <w:t>Результаты: ключевые темы</w:t>
      </w:r>
    </w:p>
    <w:p>
      <w:r>
        <w:t>• Гранты и субсидии: 2 (50.0%)</w:t>
      </w:r>
    </w:p>
    <w:p>
      <w:r>
        <w:t>• Конкурсы: 2 (50.0%)</w:t>
      </w:r>
    </w:p>
    <w:p>
      <w:r>
        <w:t>• Повышение тарифов: 1 (25.0%)</w:t>
      </w:r>
    </w:p>
    <w:p>
      <w:r>
        <w:t>• Полная компенсация: 1 (25.0%)</w:t>
      </w:r>
    </w:p>
    <w:p>
      <w:r>
        <w:t>• Реестр поставщиков: 1 (25.0%)</w:t>
      </w:r>
    </w:p>
    <w:p>
      <w:r>
        <w:t>• Снижение отчётности: 1 (25.0%)</w:t>
      </w:r>
    </w:p>
    <w:p>
      <w:r>
        <w:t>• Информационная открытость: 1 (25.0%)</w:t>
      </w:r>
    </w:p>
    <w:p>
      <w:r>
        <w:t>• Критерии нуждаемости: 1 (25.0%)</w:t>
      </w:r>
    </w:p>
    <w:p>
      <w:r>
        <w:drawing>
          <wp:inline xmlns:a="http://schemas.openxmlformats.org/drawingml/2006/main" xmlns:pic="http://schemas.openxmlformats.org/drawingml/2006/picture">
            <wp:extent cx="5669280" cy="346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m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Рис. 2. Топ тематических кодов (региональный подкорпус)</w:t>
      </w:r>
    </w:p>
    <w:p>
      <w:pPr>
        <w:pStyle w:val="Heading2"/>
      </w:pPr>
      <w:r>
        <w:t>Практические рекомендации</w:t>
      </w:r>
    </w:p>
    <w:p>
      <w:r>
        <w:t>1. Индексация тарифов и рост объёма финансирования НКО в Ставропольский край.</w:t>
      </w:r>
    </w:p>
    <w:p>
      <w:r>
        <w:t>2. Министерство труда и социальной защиты населения Ставропольского края: упростить реестр, сократить отчётность, ускорить выплаты.</w:t>
      </w:r>
    </w:p>
    <w:p>
      <w:r>
        <w:t>3. Устранить монополию госучреждений и конфликт интересов РОИВ.</w:t>
      </w:r>
    </w:p>
    <w:p>
      <w:r>
        <w:t>4. Развить соцзаказ, ваучеры, доступ НКО к СДУ.</w:t>
      </w:r>
    </w:p>
    <w:p>
      <w:r>
        <w:t>5. Имущественная и налоговая поддержка негосударственных поставщиков.</w:t>
      </w:r>
    </w:p>
    <w:p>
      <w:r>
        <w:t>Примечание: явно региональных высказываний — 4. Для общероссийских выводов используйте полный корпус (271 выск.) в пакете «Общероссийский_корпус».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