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94C4" w14:textId="77777777" w:rsidR="00CA55F4" w:rsidRPr="00BC1156" w:rsidRDefault="00000000">
      <w:pPr>
        <w:spacing w:before="1400" w:after="360"/>
        <w:jc w:val="center"/>
        <w:rPr>
          <w:sz w:val="28"/>
          <w:szCs w:val="24"/>
          <w:lang w:val="ru-RU"/>
        </w:rPr>
      </w:pPr>
      <w:r w:rsidRPr="00BC1156">
        <w:rPr>
          <w:b/>
          <w:sz w:val="32"/>
          <w:szCs w:val="24"/>
          <w:lang w:val="ru-RU"/>
        </w:rPr>
        <w:t>АНАЛИТИЧЕСКИЙ ОТЧЕТ</w:t>
      </w:r>
    </w:p>
    <w:p w14:paraId="6DC11671" w14:textId="77777777" w:rsidR="00CA55F4" w:rsidRPr="00BC1156" w:rsidRDefault="00000000">
      <w:pPr>
        <w:spacing w:after="200"/>
        <w:jc w:val="center"/>
        <w:rPr>
          <w:sz w:val="28"/>
          <w:szCs w:val="24"/>
          <w:lang w:val="ru-RU"/>
        </w:rPr>
      </w:pPr>
      <w:r w:rsidRPr="00BC1156">
        <w:rPr>
          <w:b/>
          <w:sz w:val="40"/>
          <w:szCs w:val="24"/>
          <w:lang w:val="ru-RU"/>
        </w:rPr>
        <w:t>Контент-анализ высказываний экспертов</w:t>
      </w:r>
    </w:p>
    <w:p w14:paraId="2386D4FA" w14:textId="4E35AD68" w:rsidR="00CA55F4" w:rsidRPr="00BC1156" w:rsidRDefault="00BC1156">
      <w:pPr>
        <w:spacing w:after="320"/>
        <w:jc w:val="center"/>
        <w:rPr>
          <w:sz w:val="28"/>
          <w:szCs w:val="24"/>
          <w:lang w:val="ru-RU"/>
        </w:rPr>
      </w:pPr>
      <w:r w:rsidRPr="00BC1156">
        <w:rPr>
          <w:b/>
          <w:sz w:val="28"/>
          <w:szCs w:val="24"/>
          <w:lang w:val="ru-RU"/>
        </w:rPr>
        <w:t>М</w:t>
      </w:r>
      <w:r w:rsidR="00000000" w:rsidRPr="00BC1156">
        <w:rPr>
          <w:b/>
          <w:sz w:val="28"/>
          <w:szCs w:val="24"/>
          <w:lang w:val="ru-RU"/>
        </w:rPr>
        <w:t>еры расширения доступа негосударственных поставщиков социальных услуг к бюджетному финансированию</w:t>
      </w:r>
    </w:p>
    <w:p w14:paraId="06A55244" w14:textId="77777777" w:rsidR="00CA55F4" w:rsidRPr="00BC1156" w:rsidRDefault="00000000">
      <w:pPr>
        <w:spacing w:after="200"/>
        <w:jc w:val="center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Полный корпус ответов без регионального деления</w:t>
      </w:r>
    </w:p>
    <w:p w14:paraId="0F51AD35" w14:textId="77777777" w:rsidR="00CA55F4" w:rsidRPr="00BC1156" w:rsidRDefault="00000000">
      <w:pPr>
        <w:spacing w:after="3600"/>
        <w:jc w:val="center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Дата подготовки: 13.06.2026</w:t>
      </w:r>
    </w:p>
    <w:p w14:paraId="6B4CE469" w14:textId="77777777" w:rsidR="00CA55F4" w:rsidRPr="00BC1156" w:rsidRDefault="00000000">
      <w:pPr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br w:type="page"/>
      </w:r>
    </w:p>
    <w:sdt>
      <w:sdtPr>
        <w:rPr>
          <w:sz w:val="28"/>
          <w:szCs w:val="32"/>
          <w:lang w:val="ru-RU"/>
        </w:rPr>
        <w:id w:val="-58314704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Cs w:val="24"/>
          <w:lang w:val="en-US"/>
        </w:rPr>
      </w:sdtEndPr>
      <w:sdtContent>
        <w:p w14:paraId="16049870" w14:textId="263F8A09" w:rsidR="00BC1156" w:rsidRPr="00BC1156" w:rsidRDefault="00BC1156">
          <w:pPr>
            <w:pStyle w:val="aff"/>
            <w:rPr>
              <w:sz w:val="28"/>
              <w:szCs w:val="32"/>
            </w:rPr>
          </w:pPr>
          <w:r w:rsidRPr="00BC1156">
            <w:rPr>
              <w:sz w:val="28"/>
              <w:szCs w:val="32"/>
              <w:lang w:val="ru-RU"/>
            </w:rPr>
            <w:t>Оглавление</w:t>
          </w:r>
        </w:p>
        <w:p w14:paraId="519AF5B4" w14:textId="3F431A0E" w:rsidR="00BC1156" w:rsidRPr="00BC1156" w:rsidRDefault="00BC1156">
          <w:pPr>
            <w:pStyle w:val="14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r w:rsidRPr="00BC1156">
            <w:rPr>
              <w:sz w:val="28"/>
              <w:szCs w:val="24"/>
            </w:rPr>
            <w:fldChar w:fldCharType="begin"/>
          </w:r>
          <w:r w:rsidRPr="00BC1156">
            <w:rPr>
              <w:sz w:val="28"/>
              <w:szCs w:val="24"/>
            </w:rPr>
            <w:instrText xml:space="preserve"> TOC \o "1-3" \h \z \u </w:instrText>
          </w:r>
          <w:r w:rsidRPr="00BC1156">
            <w:rPr>
              <w:sz w:val="28"/>
              <w:szCs w:val="24"/>
            </w:rPr>
            <w:fldChar w:fldCharType="separate"/>
          </w:r>
          <w:hyperlink w:anchor="_Toc232256696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Оглавление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_Toc232256696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2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0D0EC5B" w14:textId="10AE18F0" w:rsidR="00BC1156" w:rsidRPr="00BC1156" w:rsidRDefault="00BC1156">
          <w:pPr>
            <w:pStyle w:val="14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697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1. Методика контент-анализа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_Toc232256697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3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A084377" w14:textId="24A2A23D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698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Объект и единица анализа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_Toc232256698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3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A10EEFF" w14:textId="44BC379B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699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Формирование корпуса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_Toc232256699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3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6AD5A0C" w14:textId="6368A86A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0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Логика кодирования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_Toc232256700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3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36434AF" w14:textId="14681A3C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1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Таблица-обоснование смысловых кодов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_Toc232256701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3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645EB81" w14:textId="1058A837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2" w:history="1">
            <w:r w:rsidRPr="00BC1156">
              <w:rPr>
                <w:rStyle w:val="aff8"/>
                <w:noProof/>
                <w:sz w:val="28"/>
                <w:szCs w:val="24"/>
              </w:rPr>
              <w:t>Краткая итоговая таблица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_Toc232256702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4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36863BE" w14:textId="05606FE8" w:rsidR="00BC1156" w:rsidRPr="00BC1156" w:rsidRDefault="00BC1156">
          <w:pPr>
            <w:pStyle w:val="14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3" w:history="1">
            <w:r w:rsidRPr="00BC1156">
              <w:rPr>
                <w:rStyle w:val="aff8"/>
                <w:noProof/>
                <w:sz w:val="28"/>
                <w:szCs w:val="24"/>
              </w:rPr>
              <w:t>2. Результаты контент-анализа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_Toc232256703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4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6C74C7D" w14:textId="4D6585F0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4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2.1. Экономическая модель и тарифная политика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_Toc232256704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5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76CE106D" w14:textId="6BFD81FE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5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2.2. Имущественная и ресурсная поддержка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_Toc232256705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5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A592E91" w14:textId="173453CF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6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2.3. Бюрократическая нагрузка и упрощение процедур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_Toc232256706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5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A5C4C04" w14:textId="7FABD7E1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7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2.4. Финансовая устойчивость и порядок выплат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_Toc232256707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6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1DCF90A" w14:textId="7925D3D8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8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2.5. Человекоцентричные механизмы (Сертификаты, СДУ)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_Toc232256708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6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54AC855" w14:textId="2A78B78B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09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2.6. Информационная открытость и обучение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_Toc232256709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6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0F4143C" w14:textId="25B9E81E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10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2.7. Институциональное равенство и демонополизация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_Toc232256710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6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EB913D8" w14:textId="43C1A2B5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11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2.8. Проверка тарифной темы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_Toc232256711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6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D3B1B57" w14:textId="0760EE3F" w:rsidR="00BC1156" w:rsidRPr="00BC1156" w:rsidRDefault="00BC1156">
          <w:pPr>
            <w:pStyle w:val="2c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12" w:history="1">
            <w:r w:rsidRPr="00BC1156">
              <w:rPr>
                <w:rStyle w:val="aff8"/>
                <w:noProof/>
                <w:sz w:val="28"/>
                <w:szCs w:val="24"/>
              </w:rPr>
              <w:t>2.9. Вывод по логике пересчета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_Toc232256712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7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F94923A" w14:textId="6E4768E4" w:rsidR="00BC1156" w:rsidRPr="00BC1156" w:rsidRDefault="00BC1156">
          <w:pPr>
            <w:pStyle w:val="14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13" w:history="1">
            <w:r w:rsidRPr="00BC1156">
              <w:rPr>
                <w:rStyle w:val="aff8"/>
                <w:noProof/>
                <w:sz w:val="28"/>
                <w:szCs w:val="24"/>
              </w:rPr>
              <w:t>3. Практические р</w:t>
            </w:r>
            <w:r w:rsidRPr="00BC1156">
              <w:rPr>
                <w:rStyle w:val="aff8"/>
                <w:noProof/>
                <w:sz w:val="28"/>
                <w:szCs w:val="24"/>
              </w:rPr>
              <w:t>е</w:t>
            </w:r>
            <w:r w:rsidRPr="00BC1156">
              <w:rPr>
                <w:rStyle w:val="aff8"/>
                <w:noProof/>
                <w:sz w:val="28"/>
                <w:szCs w:val="24"/>
              </w:rPr>
              <w:t>комендации органам власти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_Toc232256713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7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1BA88B3" w14:textId="279D291B" w:rsidR="00BC1156" w:rsidRPr="00BC1156" w:rsidRDefault="00BC1156">
          <w:pPr>
            <w:pStyle w:val="14"/>
            <w:tabs>
              <w:tab w:val="right" w:leader="dot" w:pos="8630"/>
            </w:tabs>
            <w:rPr>
              <w:noProof/>
              <w:sz w:val="28"/>
              <w:szCs w:val="24"/>
            </w:rPr>
          </w:pPr>
          <w:hyperlink w:anchor="_Toc232256714" w:history="1">
            <w:r w:rsidRPr="00BC1156">
              <w:rPr>
                <w:rStyle w:val="aff8"/>
                <w:noProof/>
                <w:sz w:val="28"/>
                <w:szCs w:val="24"/>
                <w:lang w:val="ru-RU"/>
              </w:rPr>
              <w:t>4. Итог</w:t>
            </w:r>
            <w:r w:rsidRPr="00BC1156">
              <w:rPr>
                <w:noProof/>
                <w:webHidden/>
                <w:sz w:val="28"/>
                <w:szCs w:val="24"/>
              </w:rPr>
              <w:tab/>
            </w:r>
            <w:r w:rsidRPr="00BC1156">
              <w:rPr>
                <w:noProof/>
                <w:webHidden/>
                <w:sz w:val="28"/>
                <w:szCs w:val="24"/>
              </w:rPr>
              <w:fldChar w:fldCharType="begin"/>
            </w:r>
            <w:r w:rsidRPr="00BC1156">
              <w:rPr>
                <w:noProof/>
                <w:webHidden/>
                <w:sz w:val="28"/>
                <w:szCs w:val="24"/>
              </w:rPr>
              <w:instrText xml:space="preserve"> PAGEREF _Toc232256714 \h </w:instrText>
            </w:r>
            <w:r w:rsidRPr="00BC1156">
              <w:rPr>
                <w:noProof/>
                <w:webHidden/>
                <w:sz w:val="28"/>
                <w:szCs w:val="24"/>
              </w:rPr>
            </w:r>
            <w:r w:rsidRPr="00BC1156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BC1156">
              <w:rPr>
                <w:noProof/>
                <w:webHidden/>
                <w:sz w:val="28"/>
                <w:szCs w:val="24"/>
              </w:rPr>
              <w:t>7</w:t>
            </w:r>
            <w:r w:rsidRPr="00BC1156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958C120" w14:textId="533EAB54" w:rsidR="00BC1156" w:rsidRPr="00BC1156" w:rsidRDefault="00BC1156">
          <w:pPr>
            <w:rPr>
              <w:sz w:val="28"/>
              <w:szCs w:val="24"/>
            </w:rPr>
          </w:pPr>
          <w:r w:rsidRPr="00BC1156">
            <w:rPr>
              <w:b/>
              <w:bCs/>
              <w:sz w:val="28"/>
              <w:szCs w:val="24"/>
            </w:rPr>
            <w:fldChar w:fldCharType="end"/>
          </w:r>
        </w:p>
      </w:sdtContent>
    </w:sdt>
    <w:p w14:paraId="6BF977C0" w14:textId="77777777" w:rsidR="00CA55F4" w:rsidRPr="00BC1156" w:rsidRDefault="00000000">
      <w:pPr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br w:type="page"/>
      </w:r>
    </w:p>
    <w:p w14:paraId="5C73F27D" w14:textId="77777777" w:rsidR="00CA55F4" w:rsidRPr="00BC1156" w:rsidRDefault="00000000">
      <w:pPr>
        <w:spacing w:after="160"/>
        <w:jc w:val="center"/>
        <w:rPr>
          <w:sz w:val="28"/>
          <w:szCs w:val="24"/>
          <w:lang w:val="ru-RU"/>
        </w:rPr>
      </w:pPr>
      <w:r w:rsidRPr="00BC1156">
        <w:rPr>
          <w:b/>
          <w:sz w:val="36"/>
          <w:szCs w:val="24"/>
          <w:lang w:val="ru-RU"/>
        </w:rPr>
        <w:lastRenderedPageBreak/>
        <w:t>Контент-анализ высказываний экспертов</w:t>
      </w:r>
    </w:p>
    <w:p w14:paraId="672A9B6C" w14:textId="77777777" w:rsidR="00CA55F4" w:rsidRPr="00BC1156" w:rsidRDefault="00000000">
      <w:pPr>
        <w:spacing w:after="280"/>
        <w:jc w:val="center"/>
        <w:rPr>
          <w:sz w:val="28"/>
          <w:szCs w:val="24"/>
          <w:lang w:val="ru-RU"/>
        </w:rPr>
      </w:pPr>
      <w:r w:rsidRPr="00BC1156">
        <w:rPr>
          <w:b/>
          <w:sz w:val="28"/>
          <w:szCs w:val="24"/>
          <w:lang w:val="ru-RU"/>
        </w:rPr>
        <w:t>Вопрос 72: меры расширения доступа негосударственных поставщиков социальных услуг к бюджетному финансированию</w:t>
      </w:r>
    </w:p>
    <w:p w14:paraId="68995B4B" w14:textId="77777777" w:rsidR="00CA55F4" w:rsidRPr="00BC1156" w:rsidRDefault="00000000">
      <w:pPr>
        <w:pStyle w:val="1"/>
        <w:spacing w:before="160" w:after="120"/>
        <w:rPr>
          <w:sz w:val="28"/>
          <w:szCs w:val="32"/>
          <w:lang w:val="ru-RU"/>
        </w:rPr>
      </w:pPr>
      <w:bookmarkStart w:id="0" w:name="_Toc232256697"/>
      <w:r w:rsidRPr="00BC1156">
        <w:rPr>
          <w:rFonts w:ascii="Times New Roman" w:hAnsi="Times New Roman"/>
          <w:sz w:val="28"/>
          <w:szCs w:val="32"/>
          <w:lang w:val="ru-RU"/>
        </w:rPr>
        <w:t>1. Методика контент-анализа</w:t>
      </w:r>
      <w:bookmarkEnd w:id="0"/>
    </w:p>
    <w:p w14:paraId="5E503D03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" w:name="_Toc232256698"/>
      <w:r w:rsidRPr="00BC1156">
        <w:rPr>
          <w:rFonts w:ascii="Times New Roman" w:hAnsi="Times New Roman"/>
          <w:sz w:val="28"/>
          <w:szCs w:val="28"/>
          <w:lang w:val="ru-RU"/>
        </w:rPr>
        <w:t>Объект и единица анализа</w:t>
      </w:r>
      <w:bookmarkEnd w:id="1"/>
    </w:p>
    <w:p w14:paraId="47418417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Объектом анализа выступил полный массив ответов экспертов на открытый вопрос анкеты о мерах, которые могли бы реально расширить доступ негосударственных поставщиков социальных услуг к бюджетному финансированию.</w:t>
      </w:r>
    </w:p>
    <w:p w14:paraId="377544B1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Единицей анализа принято атомарное высказывание: одна завершенная мысль — одна строка кодировочной матрицы. Составные ответы были дроблены на отдельные смысловые фрагменты.</w:t>
      </w:r>
    </w:p>
    <w:p w14:paraId="28D90814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2" w:name="_Toc232256699"/>
      <w:r w:rsidRPr="00BC1156">
        <w:rPr>
          <w:rFonts w:ascii="Times New Roman" w:hAnsi="Times New Roman"/>
          <w:sz w:val="28"/>
          <w:szCs w:val="28"/>
          <w:lang w:val="ru-RU"/>
        </w:rPr>
        <w:t>Формирование корпуса</w:t>
      </w:r>
      <w:bookmarkEnd w:id="2"/>
    </w:p>
    <w:p w14:paraId="2917AF93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Для анализа использован только полный корпус без регионального деления: 271 исходных блоков ответов и 609 атомарных высказываний.</w:t>
      </w:r>
    </w:p>
    <w:p w14:paraId="0CB758BF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Такой подход позволяет не смешивать общероссийские выводы с региональной спецификой и избежать искусственного дублирования одинаковых ответов по пакетам.</w:t>
      </w:r>
    </w:p>
    <w:p w14:paraId="70D44FA8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3" w:name="_Toc232256700"/>
      <w:r w:rsidRPr="00BC1156">
        <w:rPr>
          <w:rFonts w:ascii="Times New Roman" w:hAnsi="Times New Roman"/>
          <w:sz w:val="28"/>
          <w:szCs w:val="28"/>
          <w:lang w:val="ru-RU"/>
        </w:rPr>
        <w:t>Логика кодирования</w:t>
      </w:r>
      <w:bookmarkEnd w:id="3"/>
    </w:p>
    <w:p w14:paraId="1C00C9AF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Проверка показала, что прежняя схема с большим числом узких формальных кодов занижала видимость крупных смысловых направлений, прежде всего тарифной проблематики. Поэтому итоговый аналитический отчет построен на 7 укрупненных смысловых кодах. Одно высказывание могло одновременно входить в несколько направлений.</w:t>
      </w:r>
    </w:p>
    <w:p w14:paraId="6545F68B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4" w:name="_Toc232256701"/>
      <w:r w:rsidRPr="00BC1156">
        <w:rPr>
          <w:rFonts w:ascii="Times New Roman" w:hAnsi="Times New Roman"/>
          <w:sz w:val="28"/>
          <w:szCs w:val="28"/>
          <w:lang w:val="ru-RU"/>
        </w:rPr>
        <w:t>Таблица-обоснование смысловых кодов</w:t>
      </w:r>
      <w:bookmarkEnd w:id="4"/>
    </w:p>
    <w:p w14:paraId="481026A3" w14:textId="77777777" w:rsidR="00CA55F4" w:rsidRPr="00BC1156" w:rsidRDefault="00000000">
      <w:pPr>
        <w:spacing w:before="80" w:after="60"/>
        <w:jc w:val="center"/>
        <w:rPr>
          <w:sz w:val="28"/>
          <w:szCs w:val="24"/>
        </w:rPr>
      </w:pPr>
      <w:r w:rsidRPr="00BC1156">
        <w:rPr>
          <w:b/>
          <w:szCs w:val="24"/>
          <w:lang w:val="ru-RU"/>
        </w:rPr>
        <w:t xml:space="preserve">Таблица 1. </w:t>
      </w:r>
      <w:proofErr w:type="spellStart"/>
      <w:r w:rsidRPr="00BC1156">
        <w:rPr>
          <w:b/>
          <w:szCs w:val="24"/>
        </w:rPr>
        <w:t>Обоснование</w:t>
      </w:r>
      <w:proofErr w:type="spellEnd"/>
      <w:r w:rsidRPr="00BC1156">
        <w:rPr>
          <w:b/>
          <w:szCs w:val="24"/>
        </w:rPr>
        <w:t xml:space="preserve"> </w:t>
      </w:r>
      <w:proofErr w:type="spellStart"/>
      <w:r w:rsidRPr="00BC1156">
        <w:rPr>
          <w:b/>
          <w:szCs w:val="24"/>
        </w:rPr>
        <w:t>укрупненных</w:t>
      </w:r>
      <w:proofErr w:type="spellEnd"/>
      <w:r w:rsidRPr="00BC1156">
        <w:rPr>
          <w:b/>
          <w:szCs w:val="24"/>
        </w:rPr>
        <w:t xml:space="preserve"> </w:t>
      </w:r>
      <w:proofErr w:type="spellStart"/>
      <w:r w:rsidRPr="00BC1156">
        <w:rPr>
          <w:b/>
          <w:szCs w:val="24"/>
        </w:rPr>
        <w:t>смысловых</w:t>
      </w:r>
      <w:proofErr w:type="spellEnd"/>
      <w:r w:rsidRPr="00BC1156">
        <w:rPr>
          <w:b/>
          <w:szCs w:val="24"/>
        </w:rPr>
        <w:t xml:space="preserve"> </w:t>
      </w:r>
      <w:proofErr w:type="spellStart"/>
      <w:r w:rsidRPr="00BC1156">
        <w:rPr>
          <w:b/>
          <w:szCs w:val="24"/>
        </w:rPr>
        <w:t>кодов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93"/>
        <w:gridCol w:w="4975"/>
        <w:gridCol w:w="1196"/>
        <w:gridCol w:w="1034"/>
      </w:tblGrid>
      <w:tr w:rsidR="00CA55F4" w:rsidRPr="00BC1156" w14:paraId="59F044C8" w14:textId="77777777">
        <w:tc>
          <w:tcPr>
            <w:tcW w:w="2835" w:type="dxa"/>
            <w:shd w:val="clear" w:color="auto" w:fill="D9E2F3"/>
          </w:tcPr>
          <w:p w14:paraId="2EA7038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Тематический код (направление изменений)</w:t>
            </w:r>
          </w:p>
        </w:tc>
        <w:tc>
          <w:tcPr>
            <w:tcW w:w="6123" w:type="dxa"/>
            <w:shd w:val="clear" w:color="auto" w:fill="D9E2F3"/>
          </w:tcPr>
          <w:p w14:paraId="583EEA0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Что входит в код</w:t>
            </w:r>
          </w:p>
        </w:tc>
        <w:tc>
          <w:tcPr>
            <w:tcW w:w="1247" w:type="dxa"/>
            <w:shd w:val="clear" w:color="auto" w:fill="D9E2F3"/>
          </w:tcPr>
          <w:p w14:paraId="00A4A074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Частота</w:t>
            </w:r>
          </w:p>
        </w:tc>
        <w:tc>
          <w:tcPr>
            <w:tcW w:w="1134" w:type="dxa"/>
            <w:shd w:val="clear" w:color="auto" w:fill="D9E2F3"/>
          </w:tcPr>
          <w:p w14:paraId="46AC456D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Доля</w:t>
            </w:r>
          </w:p>
        </w:tc>
      </w:tr>
      <w:tr w:rsidR="00CA55F4" w:rsidRPr="00BC1156" w14:paraId="2985BCB9" w14:textId="77777777">
        <w:tc>
          <w:tcPr>
            <w:tcW w:w="2835" w:type="dxa"/>
          </w:tcPr>
          <w:p w14:paraId="718B9E52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Экономическая модель и тарифная политика</w:t>
            </w:r>
          </w:p>
        </w:tc>
        <w:tc>
          <w:tcPr>
            <w:tcW w:w="6123" w:type="dxa"/>
          </w:tcPr>
          <w:p w14:paraId="14459EB0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Повышение/увеличение тарифов, индексация, пересмотр и актуализация тарифов, подушевые нормативы, полная компенсация фактических затрат, себестоимость услуги.</w:t>
            </w:r>
          </w:p>
        </w:tc>
        <w:tc>
          <w:tcPr>
            <w:tcW w:w="1247" w:type="dxa"/>
          </w:tcPr>
          <w:p w14:paraId="4DE572D2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146</w:t>
            </w:r>
          </w:p>
        </w:tc>
        <w:tc>
          <w:tcPr>
            <w:tcW w:w="1134" w:type="dxa"/>
          </w:tcPr>
          <w:p w14:paraId="7672B48F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24.0%</w:t>
            </w:r>
          </w:p>
        </w:tc>
      </w:tr>
      <w:tr w:rsidR="00CA55F4" w:rsidRPr="00BC1156" w14:paraId="76783F62" w14:textId="77777777">
        <w:tc>
          <w:tcPr>
            <w:tcW w:w="2835" w:type="dxa"/>
          </w:tcPr>
          <w:p w14:paraId="0AA5D8E8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Имущественная и ресурсная поддержка</w:t>
            </w:r>
          </w:p>
        </w:tc>
        <w:tc>
          <w:tcPr>
            <w:tcW w:w="6123" w:type="dxa"/>
          </w:tcPr>
          <w:p w14:paraId="177EEBA4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 xml:space="preserve">Аренда, коммунальные услуги, помещения, нежилой фонд, имущество, гранты, субсидии, </w:t>
            </w:r>
            <w:r w:rsidRPr="00BC1156">
              <w:rPr>
                <w:szCs w:val="24"/>
                <w:lang w:val="ru-RU"/>
              </w:rPr>
              <w:lastRenderedPageBreak/>
              <w:t>налоговые льготы, кадровые и иные ресурсные условия.</w:t>
            </w:r>
          </w:p>
        </w:tc>
        <w:tc>
          <w:tcPr>
            <w:tcW w:w="1247" w:type="dxa"/>
          </w:tcPr>
          <w:p w14:paraId="7B229E42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lastRenderedPageBreak/>
              <w:t>104</w:t>
            </w:r>
          </w:p>
        </w:tc>
        <w:tc>
          <w:tcPr>
            <w:tcW w:w="1134" w:type="dxa"/>
          </w:tcPr>
          <w:p w14:paraId="7A1E4634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17.1%</w:t>
            </w:r>
          </w:p>
        </w:tc>
      </w:tr>
      <w:tr w:rsidR="00CA55F4" w:rsidRPr="00BC1156" w14:paraId="74A7F5D3" w14:textId="77777777">
        <w:tc>
          <w:tcPr>
            <w:tcW w:w="2835" w:type="dxa"/>
          </w:tcPr>
          <w:p w14:paraId="7E249499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Бюрократическая нагрузка и упрощение процедур</w:t>
            </w:r>
          </w:p>
        </w:tc>
        <w:tc>
          <w:tcPr>
            <w:tcW w:w="6123" w:type="dxa"/>
          </w:tcPr>
          <w:p w14:paraId="5C65B77A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Реестр поставщиков, конкурсные процедуры, закупки, тендеры, лишние документы, отчетность, проверки, сроки оформления, электронный документооборот.</w:t>
            </w:r>
          </w:p>
        </w:tc>
        <w:tc>
          <w:tcPr>
            <w:tcW w:w="1247" w:type="dxa"/>
          </w:tcPr>
          <w:p w14:paraId="453CB3F0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95</w:t>
            </w:r>
          </w:p>
        </w:tc>
        <w:tc>
          <w:tcPr>
            <w:tcW w:w="1134" w:type="dxa"/>
          </w:tcPr>
          <w:p w14:paraId="44CFD840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15.6%</w:t>
            </w:r>
          </w:p>
        </w:tc>
      </w:tr>
      <w:tr w:rsidR="00CA55F4" w:rsidRPr="00BC1156" w14:paraId="048BD123" w14:textId="77777777">
        <w:tc>
          <w:tcPr>
            <w:tcW w:w="2835" w:type="dxa"/>
          </w:tcPr>
          <w:p w14:paraId="6A8E930A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Финансовая устойчивость и порядок выплат</w:t>
            </w:r>
          </w:p>
        </w:tc>
        <w:tc>
          <w:tcPr>
            <w:tcW w:w="6123" w:type="dxa"/>
          </w:tcPr>
          <w:p w14:paraId="7AABDC58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Объем финансирования, бюджетные ассигнования, авансирование, долгосрочные договоры, кассовые разрывы, задержки выплат, лимиты, квоты, своевременная компенсация.</w:t>
            </w:r>
          </w:p>
        </w:tc>
        <w:tc>
          <w:tcPr>
            <w:tcW w:w="1247" w:type="dxa"/>
          </w:tcPr>
          <w:p w14:paraId="2E31038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89</w:t>
            </w:r>
          </w:p>
        </w:tc>
        <w:tc>
          <w:tcPr>
            <w:tcW w:w="1134" w:type="dxa"/>
          </w:tcPr>
          <w:p w14:paraId="2960E05B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14.6%</w:t>
            </w:r>
          </w:p>
        </w:tc>
      </w:tr>
      <w:tr w:rsidR="00CA55F4" w:rsidRPr="00BC1156" w14:paraId="701FCDEB" w14:textId="77777777">
        <w:tc>
          <w:tcPr>
            <w:tcW w:w="2835" w:type="dxa"/>
          </w:tcPr>
          <w:p w14:paraId="02E2E989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Человекоцентричные механизмы (Сертификаты, СДУ)</w:t>
            </w:r>
          </w:p>
        </w:tc>
        <w:tc>
          <w:tcPr>
            <w:tcW w:w="6123" w:type="dxa"/>
          </w:tcPr>
          <w:p w14:paraId="5625DAA0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Социальные сертификаты, ваучеры, «деньги следуют за получателем», система долговременного ухода, право выбора поставщика, ИППСУ, критерии нуждаемости.</w:t>
            </w:r>
          </w:p>
        </w:tc>
        <w:tc>
          <w:tcPr>
            <w:tcW w:w="1247" w:type="dxa"/>
          </w:tcPr>
          <w:p w14:paraId="05410C44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76</w:t>
            </w:r>
          </w:p>
        </w:tc>
        <w:tc>
          <w:tcPr>
            <w:tcW w:w="1134" w:type="dxa"/>
          </w:tcPr>
          <w:p w14:paraId="2B80328B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12.5%</w:t>
            </w:r>
          </w:p>
        </w:tc>
      </w:tr>
      <w:tr w:rsidR="00CA55F4" w:rsidRPr="00BC1156" w14:paraId="21F060E8" w14:textId="77777777">
        <w:tc>
          <w:tcPr>
            <w:tcW w:w="2835" w:type="dxa"/>
          </w:tcPr>
          <w:p w14:paraId="0F2B9EE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Информационная открытость и обучение</w:t>
            </w:r>
          </w:p>
        </w:tc>
        <w:tc>
          <w:tcPr>
            <w:tcW w:w="6123" w:type="dxa"/>
          </w:tcPr>
          <w:p w14:paraId="177B67AC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Открытость информации о конкурсах и финансировании, консультации, обучение, семинары, методическая помощь, ресурсные центры, диалог с органами власти.</w:t>
            </w:r>
          </w:p>
        </w:tc>
        <w:tc>
          <w:tcPr>
            <w:tcW w:w="1247" w:type="dxa"/>
          </w:tcPr>
          <w:p w14:paraId="7444F8F7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75</w:t>
            </w:r>
          </w:p>
        </w:tc>
        <w:tc>
          <w:tcPr>
            <w:tcW w:w="1134" w:type="dxa"/>
          </w:tcPr>
          <w:p w14:paraId="15100083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12.3%</w:t>
            </w:r>
          </w:p>
        </w:tc>
      </w:tr>
      <w:tr w:rsidR="00CA55F4" w:rsidRPr="00BC1156" w14:paraId="18FE7CF7" w14:textId="77777777">
        <w:tc>
          <w:tcPr>
            <w:tcW w:w="2835" w:type="dxa"/>
          </w:tcPr>
          <w:p w14:paraId="1DC26A6B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Институциональное равенство и демонополизация</w:t>
            </w:r>
          </w:p>
        </w:tc>
        <w:tc>
          <w:tcPr>
            <w:tcW w:w="6123" w:type="dxa"/>
          </w:tcPr>
          <w:p w14:paraId="46793EF2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442-ФЗ, 189-ФЗ, региональные акты, равные условия, устранение конфликта интересов, демонополизация, конкуренция, недискриминационный доступ.</w:t>
            </w:r>
          </w:p>
        </w:tc>
        <w:tc>
          <w:tcPr>
            <w:tcW w:w="1247" w:type="dxa"/>
          </w:tcPr>
          <w:p w14:paraId="3470ACF8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50</w:t>
            </w:r>
          </w:p>
        </w:tc>
        <w:tc>
          <w:tcPr>
            <w:tcW w:w="1134" w:type="dxa"/>
          </w:tcPr>
          <w:p w14:paraId="61A884E0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8.2%</w:t>
            </w:r>
          </w:p>
        </w:tc>
      </w:tr>
    </w:tbl>
    <w:p w14:paraId="760CBF4F" w14:textId="77777777" w:rsidR="00CA55F4" w:rsidRPr="00BC1156" w:rsidRDefault="00000000">
      <w:pPr>
        <w:pStyle w:val="21"/>
        <w:spacing w:before="120" w:after="80"/>
        <w:rPr>
          <w:sz w:val="28"/>
          <w:szCs w:val="28"/>
        </w:rPr>
      </w:pPr>
      <w:bookmarkStart w:id="5" w:name="_Toc232256702"/>
      <w:r w:rsidRPr="00BC1156">
        <w:rPr>
          <w:rFonts w:ascii="Times New Roman" w:hAnsi="Times New Roman"/>
          <w:sz w:val="28"/>
          <w:szCs w:val="28"/>
        </w:rPr>
        <w:t>Краткая итоговая таблица</w:t>
      </w:r>
      <w:bookmarkEnd w:id="5"/>
    </w:p>
    <w:p w14:paraId="621420A6" w14:textId="77777777" w:rsidR="00CA55F4" w:rsidRPr="00BC1156" w:rsidRDefault="00000000">
      <w:pPr>
        <w:spacing w:before="80" w:after="60"/>
        <w:jc w:val="center"/>
        <w:rPr>
          <w:sz w:val="28"/>
          <w:szCs w:val="24"/>
          <w:lang w:val="ru-RU"/>
        </w:rPr>
      </w:pPr>
      <w:r w:rsidRPr="00BC1156">
        <w:rPr>
          <w:b/>
          <w:szCs w:val="24"/>
          <w:lang w:val="ru-RU"/>
        </w:rPr>
        <w:t>Таблица 2. Топ-7 смысловых направлений по полному корпусу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5669"/>
        <w:gridCol w:w="1417"/>
        <w:gridCol w:w="1417"/>
      </w:tblGrid>
      <w:tr w:rsidR="00CA55F4" w:rsidRPr="00BC1156" w14:paraId="4540CF21" w14:textId="77777777">
        <w:tc>
          <w:tcPr>
            <w:tcW w:w="1134" w:type="dxa"/>
            <w:shd w:val="clear" w:color="auto" w:fill="D9E2F3"/>
          </w:tcPr>
          <w:p w14:paraId="39357053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proofErr w:type="spellStart"/>
            <w:r w:rsidRPr="00BC1156">
              <w:rPr>
                <w:b/>
                <w:szCs w:val="24"/>
              </w:rPr>
              <w:t>Ранг</w:t>
            </w:r>
            <w:proofErr w:type="spellEnd"/>
          </w:p>
        </w:tc>
        <w:tc>
          <w:tcPr>
            <w:tcW w:w="5669" w:type="dxa"/>
            <w:shd w:val="clear" w:color="auto" w:fill="D9E2F3"/>
          </w:tcPr>
          <w:p w14:paraId="5222E8D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Направление</w:t>
            </w:r>
          </w:p>
        </w:tc>
        <w:tc>
          <w:tcPr>
            <w:tcW w:w="1417" w:type="dxa"/>
            <w:shd w:val="clear" w:color="auto" w:fill="D9E2F3"/>
          </w:tcPr>
          <w:p w14:paraId="204B1490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Частота</w:t>
            </w:r>
          </w:p>
        </w:tc>
        <w:tc>
          <w:tcPr>
            <w:tcW w:w="1417" w:type="dxa"/>
            <w:shd w:val="clear" w:color="auto" w:fill="D9E2F3"/>
          </w:tcPr>
          <w:p w14:paraId="7B60A257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Доля</w:t>
            </w:r>
          </w:p>
        </w:tc>
      </w:tr>
      <w:tr w:rsidR="00CA55F4" w:rsidRPr="00BC1156" w14:paraId="7FCD94D4" w14:textId="77777777">
        <w:tc>
          <w:tcPr>
            <w:tcW w:w="1134" w:type="dxa"/>
          </w:tcPr>
          <w:p w14:paraId="6256F1A3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</w:t>
            </w:r>
          </w:p>
        </w:tc>
        <w:tc>
          <w:tcPr>
            <w:tcW w:w="5669" w:type="dxa"/>
          </w:tcPr>
          <w:p w14:paraId="3C80F373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Экономическая модель и тарифная политика</w:t>
            </w:r>
          </w:p>
        </w:tc>
        <w:tc>
          <w:tcPr>
            <w:tcW w:w="1417" w:type="dxa"/>
          </w:tcPr>
          <w:p w14:paraId="3A085892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146</w:t>
            </w:r>
          </w:p>
        </w:tc>
        <w:tc>
          <w:tcPr>
            <w:tcW w:w="1417" w:type="dxa"/>
          </w:tcPr>
          <w:p w14:paraId="6D3AB20D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24.0%</w:t>
            </w:r>
          </w:p>
        </w:tc>
      </w:tr>
      <w:tr w:rsidR="00CA55F4" w:rsidRPr="00BC1156" w14:paraId="02D3362C" w14:textId="77777777">
        <w:tc>
          <w:tcPr>
            <w:tcW w:w="1134" w:type="dxa"/>
          </w:tcPr>
          <w:p w14:paraId="0CD38FD1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2</w:t>
            </w:r>
          </w:p>
        </w:tc>
        <w:tc>
          <w:tcPr>
            <w:tcW w:w="5669" w:type="dxa"/>
          </w:tcPr>
          <w:p w14:paraId="2B40EFB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Имущественная и ресурсная поддержка</w:t>
            </w:r>
          </w:p>
        </w:tc>
        <w:tc>
          <w:tcPr>
            <w:tcW w:w="1417" w:type="dxa"/>
          </w:tcPr>
          <w:p w14:paraId="7538E817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104</w:t>
            </w:r>
          </w:p>
        </w:tc>
        <w:tc>
          <w:tcPr>
            <w:tcW w:w="1417" w:type="dxa"/>
          </w:tcPr>
          <w:p w14:paraId="232CA56E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17.1%</w:t>
            </w:r>
          </w:p>
        </w:tc>
      </w:tr>
      <w:tr w:rsidR="00CA55F4" w:rsidRPr="00BC1156" w14:paraId="450C03FE" w14:textId="77777777">
        <w:tc>
          <w:tcPr>
            <w:tcW w:w="1134" w:type="dxa"/>
          </w:tcPr>
          <w:p w14:paraId="7BD1D4DA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3</w:t>
            </w:r>
          </w:p>
        </w:tc>
        <w:tc>
          <w:tcPr>
            <w:tcW w:w="5669" w:type="dxa"/>
          </w:tcPr>
          <w:p w14:paraId="3BDFA91B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Бюрократическая нагрузка и упрощение процедур</w:t>
            </w:r>
          </w:p>
        </w:tc>
        <w:tc>
          <w:tcPr>
            <w:tcW w:w="1417" w:type="dxa"/>
          </w:tcPr>
          <w:p w14:paraId="0E674F99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95</w:t>
            </w:r>
          </w:p>
        </w:tc>
        <w:tc>
          <w:tcPr>
            <w:tcW w:w="1417" w:type="dxa"/>
          </w:tcPr>
          <w:p w14:paraId="2C654B71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15.6%</w:t>
            </w:r>
          </w:p>
        </w:tc>
      </w:tr>
      <w:tr w:rsidR="00CA55F4" w:rsidRPr="00BC1156" w14:paraId="19C385D7" w14:textId="77777777">
        <w:tc>
          <w:tcPr>
            <w:tcW w:w="1134" w:type="dxa"/>
          </w:tcPr>
          <w:p w14:paraId="79020E39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4</w:t>
            </w:r>
          </w:p>
        </w:tc>
        <w:tc>
          <w:tcPr>
            <w:tcW w:w="5669" w:type="dxa"/>
          </w:tcPr>
          <w:p w14:paraId="5EE89093" w14:textId="77777777" w:rsidR="00CA55F4" w:rsidRPr="00BC1156" w:rsidRDefault="00000000">
            <w:pPr>
              <w:spacing w:after="0"/>
              <w:rPr>
                <w:sz w:val="28"/>
                <w:szCs w:val="24"/>
                <w:lang w:val="ru-RU"/>
              </w:rPr>
            </w:pPr>
            <w:r w:rsidRPr="00BC1156">
              <w:rPr>
                <w:szCs w:val="24"/>
                <w:lang w:val="ru-RU"/>
              </w:rPr>
              <w:t>Финансовая устойчивость и порядок выплат</w:t>
            </w:r>
          </w:p>
        </w:tc>
        <w:tc>
          <w:tcPr>
            <w:tcW w:w="1417" w:type="dxa"/>
          </w:tcPr>
          <w:p w14:paraId="1AFF389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89</w:t>
            </w:r>
          </w:p>
        </w:tc>
        <w:tc>
          <w:tcPr>
            <w:tcW w:w="1417" w:type="dxa"/>
          </w:tcPr>
          <w:p w14:paraId="4C2A9C8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14.6%</w:t>
            </w:r>
          </w:p>
        </w:tc>
      </w:tr>
      <w:tr w:rsidR="00CA55F4" w:rsidRPr="00BC1156" w14:paraId="085AD5B9" w14:textId="77777777">
        <w:tc>
          <w:tcPr>
            <w:tcW w:w="1134" w:type="dxa"/>
          </w:tcPr>
          <w:p w14:paraId="7CF255AE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5</w:t>
            </w:r>
          </w:p>
        </w:tc>
        <w:tc>
          <w:tcPr>
            <w:tcW w:w="5669" w:type="dxa"/>
          </w:tcPr>
          <w:p w14:paraId="77CDE679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Человекоцентричные механизмы (Сертификаты, СДУ)</w:t>
            </w:r>
          </w:p>
        </w:tc>
        <w:tc>
          <w:tcPr>
            <w:tcW w:w="1417" w:type="dxa"/>
          </w:tcPr>
          <w:p w14:paraId="310FB04F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76</w:t>
            </w:r>
          </w:p>
        </w:tc>
        <w:tc>
          <w:tcPr>
            <w:tcW w:w="1417" w:type="dxa"/>
          </w:tcPr>
          <w:p w14:paraId="41EBA662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12.5%</w:t>
            </w:r>
          </w:p>
        </w:tc>
      </w:tr>
      <w:tr w:rsidR="00CA55F4" w:rsidRPr="00BC1156" w14:paraId="6E4A7025" w14:textId="77777777">
        <w:tc>
          <w:tcPr>
            <w:tcW w:w="1134" w:type="dxa"/>
          </w:tcPr>
          <w:p w14:paraId="1FC5BEB3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6</w:t>
            </w:r>
          </w:p>
        </w:tc>
        <w:tc>
          <w:tcPr>
            <w:tcW w:w="5669" w:type="dxa"/>
          </w:tcPr>
          <w:p w14:paraId="00319E1E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Информационная открытость и обучение</w:t>
            </w:r>
          </w:p>
        </w:tc>
        <w:tc>
          <w:tcPr>
            <w:tcW w:w="1417" w:type="dxa"/>
          </w:tcPr>
          <w:p w14:paraId="0A8B842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75</w:t>
            </w:r>
          </w:p>
        </w:tc>
        <w:tc>
          <w:tcPr>
            <w:tcW w:w="1417" w:type="dxa"/>
          </w:tcPr>
          <w:p w14:paraId="25594F78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12.3%</w:t>
            </w:r>
          </w:p>
        </w:tc>
      </w:tr>
      <w:tr w:rsidR="00CA55F4" w:rsidRPr="00BC1156" w14:paraId="7A4CE503" w14:textId="77777777">
        <w:tc>
          <w:tcPr>
            <w:tcW w:w="1134" w:type="dxa"/>
          </w:tcPr>
          <w:p w14:paraId="38BD29ED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7</w:t>
            </w:r>
          </w:p>
        </w:tc>
        <w:tc>
          <w:tcPr>
            <w:tcW w:w="5669" w:type="dxa"/>
          </w:tcPr>
          <w:p w14:paraId="4BFE2950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Институциональное равенство и демонополизация</w:t>
            </w:r>
          </w:p>
        </w:tc>
        <w:tc>
          <w:tcPr>
            <w:tcW w:w="1417" w:type="dxa"/>
          </w:tcPr>
          <w:p w14:paraId="7083AF1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50</w:t>
            </w:r>
          </w:p>
        </w:tc>
        <w:tc>
          <w:tcPr>
            <w:tcW w:w="1417" w:type="dxa"/>
          </w:tcPr>
          <w:p w14:paraId="06E0D4B5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8.2%</w:t>
            </w:r>
          </w:p>
        </w:tc>
      </w:tr>
    </w:tbl>
    <w:p w14:paraId="72FAAC4F" w14:textId="77777777" w:rsidR="00CA55F4" w:rsidRPr="00BC1156" w:rsidRDefault="00000000">
      <w:pPr>
        <w:pStyle w:val="1"/>
        <w:spacing w:before="160" w:after="120"/>
        <w:rPr>
          <w:sz w:val="28"/>
          <w:szCs w:val="32"/>
        </w:rPr>
      </w:pPr>
      <w:bookmarkStart w:id="6" w:name="_Toc232256703"/>
      <w:r w:rsidRPr="00BC1156">
        <w:rPr>
          <w:rFonts w:ascii="Times New Roman" w:hAnsi="Times New Roman"/>
          <w:sz w:val="28"/>
          <w:szCs w:val="32"/>
        </w:rPr>
        <w:t>2. Результаты контент-анализа</w:t>
      </w:r>
      <w:bookmarkEnd w:id="6"/>
    </w:p>
    <w:p w14:paraId="15B1353C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Ниже представлены результаты пересчета полного корпуса по 7 укрупненным смысловым направлениям. Логика раздела подчинена именно этой схеме, поэтому выводы, ранжирование и рекомендации далее согласованы между собой.</w:t>
      </w:r>
    </w:p>
    <w:p w14:paraId="4A53ECE1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7" w:name="_Toc232256704"/>
      <w:r w:rsidRPr="00BC1156">
        <w:rPr>
          <w:rFonts w:ascii="Times New Roman" w:hAnsi="Times New Roman"/>
          <w:sz w:val="28"/>
          <w:szCs w:val="28"/>
          <w:lang w:val="ru-RU"/>
        </w:rPr>
        <w:lastRenderedPageBreak/>
        <w:t>2.1. Экономическая модель и тарифная политика</w:t>
      </w:r>
      <w:bookmarkEnd w:id="7"/>
    </w:p>
    <w:p w14:paraId="10B3426B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146 атомарных высказываниях (24.0% корпуса). В код включались: Повышение/увеличение тарифов, индексация, пересмотр и актуализация тарифов, подушевые нормативы, полная компенсация фактических затрат, себестоимость услуги.</w:t>
      </w:r>
    </w:p>
    <w:p w14:paraId="4807ABB5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Именно этот блок оказался ведущим. Это означает, что эксперты прежде всего видят барьер не в абстрактном отсутствии мер поддержки, а в неработающей экономике услуги: низких и заниженных тарифах, отсутствии индексации, неучете реальных затрат и необходимости пересмотра самой тарифной модели.</w:t>
      </w:r>
    </w:p>
    <w:p w14:paraId="6953185E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С академической точки зрения лидерство этого блока закономерно: тариф является концентрированным выражением всей экономической архитектуры доступа НКО к бюджетному финансированию. Через обсуждение тарифов респонденты фактически описывают одновременно проблему недофинансирования, неучета себестоимости, отсутствия индексации и структурного неравенства условий между государственными и негосударственными поставщиками.</w:t>
      </w:r>
    </w:p>
    <w:p w14:paraId="33DAB148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8" w:name="_Toc232256705"/>
      <w:r w:rsidRPr="00BC1156">
        <w:rPr>
          <w:rFonts w:ascii="Times New Roman" w:hAnsi="Times New Roman"/>
          <w:sz w:val="28"/>
          <w:szCs w:val="28"/>
          <w:lang w:val="ru-RU"/>
        </w:rPr>
        <w:t>2.2. Имущественная и ресурсная поддержка</w:t>
      </w:r>
      <w:bookmarkEnd w:id="8"/>
    </w:p>
    <w:p w14:paraId="67CFD68B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104 атомарных высказываниях (17.1% корпуса). В код включались: Аренда, коммунальные услуги, помещения, нежилой фонд, имущество, гранты, субсидии, налоговые льготы, кадровые и иные ресурсные условия.</w:t>
      </w:r>
    </w:p>
    <w:p w14:paraId="2B6685F6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Высокая частота этого блока показывает, что доступ к бюджетному финансированию воспринимается экспертами не только как вопрос денег за услугу, но и как вопрос общих условий выживания организации: аренды, помещений, налогов, грантов и кадровых ресурсов.</w:t>
      </w:r>
    </w:p>
    <w:p w14:paraId="172E04B0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9" w:name="_Toc232256706"/>
      <w:r w:rsidRPr="00BC1156">
        <w:rPr>
          <w:rFonts w:ascii="Times New Roman" w:hAnsi="Times New Roman"/>
          <w:sz w:val="28"/>
          <w:szCs w:val="28"/>
          <w:lang w:val="ru-RU"/>
        </w:rPr>
        <w:t>2.3. Бюрократическая нагрузка и упрощение процедур</w:t>
      </w:r>
      <w:bookmarkEnd w:id="9"/>
    </w:p>
    <w:p w14:paraId="5B769101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95 атомарных высказываниях (15.6% корпуса). В код включались: Реестр поставщиков, конкурсные процедуры, закупки, тендеры, лишние документы, отчетность, проверки, сроки оформления, электронный документооборот.</w:t>
      </w:r>
    </w:p>
    <w:p w14:paraId="6EA5AEA0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Третье место этой темы подтверждает, что даже там, где финансирование формально предусмотрено, оно часто блокируется сложными процедурами допуска, отчетности и конкурса.</w:t>
      </w:r>
    </w:p>
    <w:p w14:paraId="6529131A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0" w:name="_Toc232256707"/>
      <w:r w:rsidRPr="00BC1156">
        <w:rPr>
          <w:rFonts w:ascii="Times New Roman" w:hAnsi="Times New Roman"/>
          <w:sz w:val="28"/>
          <w:szCs w:val="28"/>
          <w:lang w:val="ru-RU"/>
        </w:rPr>
        <w:lastRenderedPageBreak/>
        <w:t>2.4. Финансовая устойчивость и порядок выплат</w:t>
      </w:r>
      <w:bookmarkEnd w:id="10"/>
    </w:p>
    <w:p w14:paraId="73CECAB2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89 атомарных высказываниях (14.6% корпуса). В код включались: Объем финансирования, бюджетные ассигнования, авансирование, долгосрочные договоры, кассовые разрывы, задержки выплат, лимиты, квоты, своевременная компенсация.</w:t>
      </w:r>
    </w:p>
    <w:p w14:paraId="5F431156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Отдельный сильный блок связан со стабильностью финансирования: объемами бюджетных ассигнований, авансированием, лимитами, кассовыми разрывами и задержками выплат.</w:t>
      </w:r>
    </w:p>
    <w:p w14:paraId="2AFD080E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1" w:name="_Toc232256708"/>
      <w:r w:rsidRPr="00BC1156">
        <w:rPr>
          <w:rFonts w:ascii="Times New Roman" w:hAnsi="Times New Roman"/>
          <w:sz w:val="28"/>
          <w:szCs w:val="28"/>
          <w:lang w:val="ru-RU"/>
        </w:rPr>
        <w:t xml:space="preserve">2.5. </w:t>
      </w:r>
      <w:proofErr w:type="spellStart"/>
      <w:r w:rsidRPr="00BC1156">
        <w:rPr>
          <w:rFonts w:ascii="Times New Roman" w:hAnsi="Times New Roman"/>
          <w:sz w:val="28"/>
          <w:szCs w:val="28"/>
          <w:lang w:val="ru-RU"/>
        </w:rPr>
        <w:t>Человекоцентричные</w:t>
      </w:r>
      <w:proofErr w:type="spellEnd"/>
      <w:r w:rsidRPr="00BC1156">
        <w:rPr>
          <w:rFonts w:ascii="Times New Roman" w:hAnsi="Times New Roman"/>
          <w:sz w:val="28"/>
          <w:szCs w:val="28"/>
          <w:lang w:val="ru-RU"/>
        </w:rPr>
        <w:t xml:space="preserve"> механизмы (Сертификаты, СДУ)</w:t>
      </w:r>
      <w:bookmarkEnd w:id="11"/>
    </w:p>
    <w:p w14:paraId="482AC592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76 атомарных высказываниях (12.5% корпуса). В код включались: Социальные сертификаты, ваучеры, «деньги следуют за получателем», система долговременного ухода, право выбора поставщика, ИППСУ, критерии нуждаемости.</w:t>
      </w:r>
    </w:p>
    <w:p w14:paraId="2BEA4CA1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Этот код объединяет предложения, где центр тяжести переносится на получателя услуги: сертификаты, ваучеры, право выбора поставщика, СДУ и критерии нуждаемости.</w:t>
      </w:r>
    </w:p>
    <w:p w14:paraId="568A871E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2" w:name="_Toc232256709"/>
      <w:r w:rsidRPr="00BC1156">
        <w:rPr>
          <w:rFonts w:ascii="Times New Roman" w:hAnsi="Times New Roman"/>
          <w:sz w:val="28"/>
          <w:szCs w:val="28"/>
          <w:lang w:val="ru-RU"/>
        </w:rPr>
        <w:t>2.6. Информационная открытость и обучение</w:t>
      </w:r>
      <w:bookmarkEnd w:id="12"/>
    </w:p>
    <w:p w14:paraId="1B6E6071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75 атомарных высказываниях (12.3% корпуса). В код включались: Открытость информации о конкурсах и финансировании, консультации, обучение, семинары, методическая помощь, ресурсные центры, диалог с органами власти.</w:t>
      </w:r>
    </w:p>
    <w:p w14:paraId="7476A105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 xml:space="preserve">Заметная доля таких высказываний показывает, что часть барьеров создается не только деньгами и </w:t>
      </w:r>
      <w:proofErr w:type="spellStart"/>
      <w:r w:rsidRPr="00BC1156">
        <w:rPr>
          <w:sz w:val="28"/>
          <w:szCs w:val="24"/>
          <w:lang w:val="ru-RU"/>
        </w:rPr>
        <w:t>нормативкой</w:t>
      </w:r>
      <w:proofErr w:type="spellEnd"/>
      <w:r w:rsidRPr="00BC1156">
        <w:rPr>
          <w:sz w:val="28"/>
          <w:szCs w:val="24"/>
          <w:lang w:val="ru-RU"/>
        </w:rPr>
        <w:t>, но и слабой информированностью НКО о процедурах, возможностях и правилах входа в систему.</w:t>
      </w:r>
    </w:p>
    <w:p w14:paraId="060C3215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3" w:name="_Toc232256710"/>
      <w:r w:rsidRPr="00BC1156">
        <w:rPr>
          <w:rFonts w:ascii="Times New Roman" w:hAnsi="Times New Roman"/>
          <w:sz w:val="28"/>
          <w:szCs w:val="28"/>
          <w:lang w:val="ru-RU"/>
        </w:rPr>
        <w:t>2.7. Институциональное равенство и демонополизация</w:t>
      </w:r>
      <w:bookmarkEnd w:id="13"/>
    </w:p>
    <w:p w14:paraId="1CEA0D72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Это направление зафиксировано в 50 атомарных высказываниях (8.2% корпуса). В код включались: 442-ФЗ, 189-ФЗ, региональные акты, равные условия, устранение конфликта интересов, демонополизация, конкуренция, недискриминационный доступ.</w:t>
      </w:r>
    </w:p>
    <w:p w14:paraId="5A12A2A2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Хотя этот блок меньше остальных по частоте, он стратегически важен: здесь сконцентрированы высказывания о монополии госучреждений, конфликте интересов и необходимости равных правил игры.</w:t>
      </w:r>
    </w:p>
    <w:p w14:paraId="17F600FD" w14:textId="77777777" w:rsidR="00CA55F4" w:rsidRPr="00BC1156" w:rsidRDefault="00000000">
      <w:pPr>
        <w:pStyle w:val="21"/>
        <w:spacing w:before="120" w:after="80"/>
        <w:rPr>
          <w:sz w:val="28"/>
          <w:szCs w:val="28"/>
          <w:lang w:val="ru-RU"/>
        </w:rPr>
      </w:pPr>
      <w:bookmarkStart w:id="14" w:name="_Toc232256711"/>
      <w:r w:rsidRPr="00BC1156">
        <w:rPr>
          <w:rFonts w:ascii="Times New Roman" w:hAnsi="Times New Roman"/>
          <w:sz w:val="28"/>
          <w:szCs w:val="28"/>
          <w:lang w:val="ru-RU"/>
        </w:rPr>
        <w:lastRenderedPageBreak/>
        <w:t>2.8. Проверка тарифной темы</w:t>
      </w:r>
      <w:bookmarkEnd w:id="14"/>
    </w:p>
    <w:p w14:paraId="53909F1C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Для дополнительной верификации отдельно подсчитаны явные словесные группы, связанные именно с тарифами. Они подтверждают, что тема действительно является центральной.</w:t>
      </w:r>
    </w:p>
    <w:p w14:paraId="6E34CDA9" w14:textId="77777777" w:rsidR="00CA55F4" w:rsidRPr="00BC1156" w:rsidRDefault="00000000">
      <w:pPr>
        <w:spacing w:before="80" w:after="60"/>
        <w:jc w:val="center"/>
        <w:rPr>
          <w:sz w:val="28"/>
          <w:szCs w:val="24"/>
          <w:lang w:val="ru-RU"/>
        </w:rPr>
      </w:pPr>
      <w:r w:rsidRPr="00BC1156">
        <w:rPr>
          <w:b/>
          <w:szCs w:val="24"/>
          <w:lang w:val="ru-RU"/>
        </w:rPr>
        <w:t>Таблица 3. Проверка тарифной темы по ключевым формулировкам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87"/>
        <w:gridCol w:w="1701"/>
      </w:tblGrid>
      <w:tr w:rsidR="00CA55F4" w:rsidRPr="00BC1156" w14:paraId="470AFB15" w14:textId="77777777">
        <w:tc>
          <w:tcPr>
            <w:tcW w:w="7087" w:type="dxa"/>
            <w:shd w:val="clear" w:color="auto" w:fill="D9E2F3"/>
          </w:tcPr>
          <w:p w14:paraId="7AC2BA1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proofErr w:type="spellStart"/>
            <w:r w:rsidRPr="00BC1156">
              <w:rPr>
                <w:b/>
                <w:szCs w:val="24"/>
              </w:rPr>
              <w:t>Группа</w:t>
            </w:r>
            <w:proofErr w:type="spellEnd"/>
            <w:r w:rsidRPr="00BC1156">
              <w:rPr>
                <w:b/>
                <w:szCs w:val="24"/>
              </w:rPr>
              <w:t xml:space="preserve"> </w:t>
            </w:r>
            <w:proofErr w:type="spellStart"/>
            <w:r w:rsidRPr="00BC1156">
              <w:rPr>
                <w:b/>
                <w:szCs w:val="24"/>
              </w:rPr>
              <w:t>формулировок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1B69DB33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b/>
                <w:szCs w:val="24"/>
              </w:rPr>
              <w:t>Частота</w:t>
            </w:r>
          </w:p>
        </w:tc>
      </w:tr>
      <w:tr w:rsidR="00CA55F4" w:rsidRPr="00BC1156" w14:paraId="23937CF7" w14:textId="77777777">
        <w:tc>
          <w:tcPr>
            <w:tcW w:w="7087" w:type="dxa"/>
          </w:tcPr>
          <w:p w14:paraId="0B4F4061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Повышение тарифов</w:t>
            </w:r>
          </w:p>
        </w:tc>
        <w:tc>
          <w:tcPr>
            <w:tcW w:w="1701" w:type="dxa"/>
          </w:tcPr>
          <w:p w14:paraId="7A65845A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26</w:t>
            </w:r>
          </w:p>
        </w:tc>
      </w:tr>
      <w:tr w:rsidR="00CA55F4" w:rsidRPr="00BC1156" w14:paraId="20D290E4" w14:textId="77777777">
        <w:tc>
          <w:tcPr>
            <w:tcW w:w="7087" w:type="dxa"/>
          </w:tcPr>
          <w:p w14:paraId="6C2DC467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Увеличение тарифов</w:t>
            </w:r>
          </w:p>
        </w:tc>
        <w:tc>
          <w:tcPr>
            <w:tcW w:w="1701" w:type="dxa"/>
          </w:tcPr>
          <w:p w14:paraId="32D497DC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14</w:t>
            </w:r>
          </w:p>
        </w:tc>
      </w:tr>
      <w:tr w:rsidR="00CA55F4" w:rsidRPr="00BC1156" w14:paraId="4F1767FB" w14:textId="77777777">
        <w:tc>
          <w:tcPr>
            <w:tcW w:w="7087" w:type="dxa"/>
          </w:tcPr>
          <w:p w14:paraId="490D369F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Пересмотр и актуализация тарифов</w:t>
            </w:r>
          </w:p>
        </w:tc>
        <w:tc>
          <w:tcPr>
            <w:tcW w:w="1701" w:type="dxa"/>
          </w:tcPr>
          <w:p w14:paraId="1AF549A8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6</w:t>
            </w:r>
          </w:p>
        </w:tc>
      </w:tr>
      <w:tr w:rsidR="00CA55F4" w:rsidRPr="00BC1156" w14:paraId="57EC1DD4" w14:textId="77777777">
        <w:tc>
          <w:tcPr>
            <w:tcW w:w="7087" w:type="dxa"/>
          </w:tcPr>
          <w:p w14:paraId="4FFCD9A1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Поднятие и выравнивание тарифов</w:t>
            </w:r>
          </w:p>
        </w:tc>
        <w:tc>
          <w:tcPr>
            <w:tcW w:w="1701" w:type="dxa"/>
          </w:tcPr>
          <w:p w14:paraId="3235E056" w14:textId="77777777" w:rsidR="00CA55F4" w:rsidRPr="00BC1156" w:rsidRDefault="00000000">
            <w:pPr>
              <w:spacing w:after="0"/>
              <w:rPr>
                <w:sz w:val="28"/>
                <w:szCs w:val="24"/>
              </w:rPr>
            </w:pPr>
            <w:r w:rsidRPr="00BC1156">
              <w:rPr>
                <w:szCs w:val="24"/>
              </w:rPr>
              <w:t>4</w:t>
            </w:r>
          </w:p>
        </w:tc>
      </w:tr>
    </w:tbl>
    <w:p w14:paraId="18413F03" w14:textId="77777777" w:rsidR="00CA55F4" w:rsidRPr="00BC1156" w:rsidRDefault="00000000">
      <w:pPr>
        <w:pStyle w:val="21"/>
        <w:spacing w:before="120" w:after="80"/>
        <w:rPr>
          <w:sz w:val="28"/>
          <w:szCs w:val="28"/>
        </w:rPr>
      </w:pPr>
      <w:bookmarkStart w:id="15" w:name="_Toc232256712"/>
      <w:r w:rsidRPr="00BC1156">
        <w:rPr>
          <w:rFonts w:ascii="Times New Roman" w:hAnsi="Times New Roman"/>
          <w:sz w:val="28"/>
          <w:szCs w:val="28"/>
        </w:rPr>
        <w:t>2.9. Вывод по логике пересчета</w:t>
      </w:r>
      <w:bookmarkEnd w:id="15"/>
    </w:p>
    <w:p w14:paraId="1A1B0645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 xml:space="preserve">Итоговая картина выглядит логично: на первом плане стоят тарифы и экономическая модель, далее идут ресурсные условия работы организаций, затем административные барьеры и финансовая устойчивость. Это более согласованная картина, чем прежний отчет, где </w:t>
      </w:r>
      <w:proofErr w:type="spellStart"/>
      <w:r w:rsidRPr="00BC1156">
        <w:rPr>
          <w:sz w:val="28"/>
          <w:szCs w:val="24"/>
          <w:lang w:val="ru-RU"/>
        </w:rPr>
        <w:t>смыслово</w:t>
      </w:r>
      <w:proofErr w:type="spellEnd"/>
      <w:r w:rsidRPr="00BC1156">
        <w:rPr>
          <w:sz w:val="28"/>
          <w:szCs w:val="24"/>
          <w:lang w:val="ru-RU"/>
        </w:rPr>
        <w:t xml:space="preserve"> близкие высказывания были разведены по нескольким узким кодам.</w:t>
      </w:r>
    </w:p>
    <w:p w14:paraId="19CC570A" w14:textId="77777777" w:rsidR="00CA55F4" w:rsidRPr="00BC1156" w:rsidRDefault="00000000">
      <w:pPr>
        <w:pStyle w:val="1"/>
        <w:spacing w:before="160" w:after="120"/>
        <w:rPr>
          <w:sz w:val="28"/>
          <w:szCs w:val="32"/>
        </w:rPr>
      </w:pPr>
      <w:bookmarkStart w:id="16" w:name="_Toc232256713"/>
      <w:r w:rsidRPr="00BC1156">
        <w:rPr>
          <w:rFonts w:ascii="Times New Roman" w:hAnsi="Times New Roman"/>
          <w:sz w:val="28"/>
          <w:szCs w:val="32"/>
        </w:rPr>
        <w:t>3. Практические рекомендации органам власти</w:t>
      </w:r>
      <w:bookmarkEnd w:id="16"/>
    </w:p>
    <w:p w14:paraId="4F33E988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1. Пересмотреть экономическую модель финансирования: повысить тарифы, ввести регулярную индексацию, учитывать реальные затраты поставщиков и себестоимость услуги.</w:t>
      </w:r>
    </w:p>
    <w:p w14:paraId="1592EA83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2. Снизить бюрократическую нагрузку: упростить доступ в реестр, сократить отчетность, сделать конкурсные и закупочные процедуры менее затратными для НКО.</w:t>
      </w:r>
    </w:p>
    <w:p w14:paraId="403B70D7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3. Обеспечить институциональное равенство: минимизировать монополию государственных учреждений, устранить конфликт интересов и закрепить единые правила доступа к бюджетным средствам.</w:t>
      </w:r>
    </w:p>
    <w:p w14:paraId="4364CC5C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4. Усилить имущественную и ресурсную поддержку: компенсировать аренду и коммунальные услуги, расширить налоговые льготы, использовать гранты и субсидии как поддерживающий инструмент.</w:t>
      </w:r>
    </w:p>
    <w:p w14:paraId="0D00C09D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5. Повысить финансовую устойчивость НКО: увеличить объем ассигнований, ввести авансирование, многолетние договоры и обеспечить своевременные выплаты без кассовых разрывов.</w:t>
      </w:r>
    </w:p>
    <w:p w14:paraId="70E9FCAE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6. Развивать информационную открытость и обучение: делать понятными правила доступа к финансированию, поддерживать консультации, ресурсные центры и обучающие форматы.</w:t>
      </w:r>
    </w:p>
    <w:p w14:paraId="5B8FA183" w14:textId="77777777" w:rsidR="00CA55F4" w:rsidRPr="00BC1156" w:rsidRDefault="00000000">
      <w:pPr>
        <w:pStyle w:val="a"/>
        <w:spacing w:after="80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lastRenderedPageBreak/>
        <w:t xml:space="preserve">7. Продвигать </w:t>
      </w:r>
      <w:proofErr w:type="spellStart"/>
      <w:r w:rsidRPr="00BC1156">
        <w:rPr>
          <w:sz w:val="28"/>
          <w:szCs w:val="24"/>
          <w:lang w:val="ru-RU"/>
        </w:rPr>
        <w:t>человекоцентричные</w:t>
      </w:r>
      <w:proofErr w:type="spellEnd"/>
      <w:r w:rsidRPr="00BC1156">
        <w:rPr>
          <w:sz w:val="28"/>
          <w:szCs w:val="24"/>
          <w:lang w:val="ru-RU"/>
        </w:rPr>
        <w:t xml:space="preserve"> механизмы: расширять использование сертификатов, принципа «деньги следуют за получателем», СДУ и реального права выбора поставщика.</w:t>
      </w:r>
    </w:p>
    <w:p w14:paraId="3033F3A2" w14:textId="77777777" w:rsidR="00CA55F4" w:rsidRPr="00BC1156" w:rsidRDefault="00000000">
      <w:pPr>
        <w:pStyle w:val="1"/>
        <w:spacing w:before="160" w:after="120"/>
        <w:rPr>
          <w:sz w:val="28"/>
          <w:szCs w:val="32"/>
          <w:lang w:val="ru-RU"/>
        </w:rPr>
      </w:pPr>
      <w:bookmarkStart w:id="17" w:name="_Toc232256714"/>
      <w:r w:rsidRPr="00BC1156">
        <w:rPr>
          <w:rFonts w:ascii="Times New Roman" w:hAnsi="Times New Roman"/>
          <w:sz w:val="28"/>
          <w:szCs w:val="32"/>
          <w:lang w:val="ru-RU"/>
        </w:rPr>
        <w:t>4. Итог</w:t>
      </w:r>
      <w:bookmarkEnd w:id="17"/>
    </w:p>
    <w:p w14:paraId="54166DE9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Проверка логики отчета показала, что для полного корпуса наиболее адекватной является схема из 7 укрупненных смысловых кодов. Она лучше отражает реальную структуру ответов экспертов и особенно точнее показывает вес тарифной проблематики.</w:t>
      </w:r>
    </w:p>
    <w:p w14:paraId="7B83583C" w14:textId="77777777" w:rsidR="00CA55F4" w:rsidRPr="00BC1156" w:rsidRDefault="00000000">
      <w:pPr>
        <w:ind w:firstLine="709"/>
        <w:rPr>
          <w:sz w:val="28"/>
          <w:szCs w:val="24"/>
          <w:lang w:val="ru-RU"/>
        </w:rPr>
      </w:pPr>
      <w:r w:rsidRPr="00BC1156">
        <w:rPr>
          <w:sz w:val="28"/>
          <w:szCs w:val="24"/>
          <w:lang w:val="ru-RU"/>
        </w:rPr>
        <w:t>Документ подготовлен по полному корпусу без регионального деления. Основной вывод: ключевой запрос экспертов связан с пересмотром экономической модели финансирования, а не только с точечными административными улучшениями.</w:t>
      </w:r>
    </w:p>
    <w:sectPr w:rsidR="00CA55F4" w:rsidRPr="00BC1156" w:rsidSect="00BC1156">
      <w:footerReference w:type="default" r:id="rId8"/>
      <w:pgSz w:w="12240" w:h="15840"/>
      <w:pgMar w:top="709" w:right="758" w:bottom="851" w:left="1800" w:header="720" w:footer="5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28595" w14:textId="77777777" w:rsidR="000C31E8" w:rsidRDefault="000C31E8">
      <w:pPr>
        <w:spacing w:after="0" w:line="240" w:lineRule="auto"/>
      </w:pPr>
      <w:r>
        <w:separator/>
      </w:r>
    </w:p>
  </w:endnote>
  <w:endnote w:type="continuationSeparator" w:id="0">
    <w:p w14:paraId="02B50A4E" w14:textId="77777777" w:rsidR="000C31E8" w:rsidRDefault="000C3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6AD30" w14:textId="77777777" w:rsidR="00CA55F4" w:rsidRDefault="00000000">
    <w:pPr>
      <w:pStyle w:val="a7"/>
      <w:spacing w:line="276" w:lineRule="auto"/>
      <w:jc w:val="right"/>
    </w:pPr>
    <w:r>
      <w:fldChar w:fldCharType="begin"/>
    </w:r>
    <w:r>
      <w:instrText xml:space="preserve"> PAGE </w:instrText>
    </w:r>
    <w:r w:rsidR="00BC1156">
      <w:fldChar w:fldCharType="separate"/>
    </w:r>
    <w:r w:rsidR="00BC11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848A1" w14:textId="77777777" w:rsidR="000C31E8" w:rsidRDefault="000C31E8">
      <w:pPr>
        <w:spacing w:after="0" w:line="240" w:lineRule="auto"/>
      </w:pPr>
      <w:r>
        <w:separator/>
      </w:r>
    </w:p>
  </w:footnote>
  <w:footnote w:type="continuationSeparator" w:id="0">
    <w:p w14:paraId="199F97A9" w14:textId="77777777" w:rsidR="000C31E8" w:rsidRDefault="000C3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253292">
    <w:abstractNumId w:val="8"/>
  </w:num>
  <w:num w:numId="2" w16cid:durableId="1952397951">
    <w:abstractNumId w:val="6"/>
  </w:num>
  <w:num w:numId="3" w16cid:durableId="1901944504">
    <w:abstractNumId w:val="5"/>
  </w:num>
  <w:num w:numId="4" w16cid:durableId="806315163">
    <w:abstractNumId w:val="4"/>
  </w:num>
  <w:num w:numId="5" w16cid:durableId="750351508">
    <w:abstractNumId w:val="7"/>
  </w:num>
  <w:num w:numId="6" w16cid:durableId="1051539419">
    <w:abstractNumId w:val="3"/>
  </w:num>
  <w:num w:numId="7" w16cid:durableId="1535996216">
    <w:abstractNumId w:val="2"/>
  </w:num>
  <w:num w:numId="8" w16cid:durableId="2025354874">
    <w:abstractNumId w:val="1"/>
  </w:num>
  <w:num w:numId="9" w16cid:durableId="157261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1E8"/>
    <w:rsid w:val="001408CB"/>
    <w:rsid w:val="0015074B"/>
    <w:rsid w:val="0029639D"/>
    <w:rsid w:val="00326F90"/>
    <w:rsid w:val="00AA1D8D"/>
    <w:rsid w:val="00B47730"/>
    <w:rsid w:val="00BC1156"/>
    <w:rsid w:val="00CA55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1E9CED"/>
  <w14:defaultImageDpi w14:val="300"/>
  <w15:docId w15:val="{3D685F06-66D1-4F9D-BA2F-7667A0C0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C115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C1156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C11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2</cp:revision>
  <dcterms:created xsi:type="dcterms:W3CDTF">2013-12-23T23:15:00Z</dcterms:created>
  <dcterms:modified xsi:type="dcterms:W3CDTF">2026-06-13T12:27:00Z</dcterms:modified>
  <cp:category/>
</cp:coreProperties>
</file>