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 w:line="276" w:lineRule="auto"/>
        <w:jc w:val="center"/>
      </w:pPr>
      <w:r>
        <w:rPr>
          <w:rFonts w:ascii="Times New Roman" w:hAnsi="Times New Roman"/>
          <w:b/>
          <w:sz w:val="28"/>
        </w:rPr>
        <w:t>АНАЛИТИЧЕСКИЙ ОТЧЕТ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36"/>
        </w:rPr>
        <w:t>Контент-анализ высказываний экспертов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sz w:val="26"/>
        </w:rPr>
        <w:t>Вопрос 72: меры расширения доступа негосударственных поставщиков социальных услуг к бюджетному финансированию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sz w:val="24"/>
        </w:rPr>
        <w:t>Полный корпус ответов без регионального деления</w:t>
      </w:r>
    </w:p>
    <w:p>
      <w:pPr>
        <w:spacing w:before="0" w:after="3600" w:line="276" w:lineRule="auto"/>
        <w:jc w:val="center"/>
      </w:pPr>
      <w:r>
        <w:rPr>
          <w:rFonts w:ascii="Times New Roman" w:hAnsi="Times New Roman"/>
          <w:sz w:val="24"/>
        </w:rPr>
        <w:t>Дата подготовки: 13.06.2026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sz w:val="22"/>
        </w:rPr>
        <w:t>Подготовлено на основе пересчета по 7 укрупненным смысловым кодам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rPr>
          <w:rFonts w:ascii="Times New Roman" w:hAnsi="Times New Roman"/>
          <w:b/>
          <w:sz w:val="26"/>
        </w:rPr>
        <w:t>Оглавление</w:t>
      </w:r>
    </w:p>
    <w:p>
      <w:pPr>
        <w:spacing w:before="0" w:after="120" w:line="276" w:lineRule="auto"/>
      </w:pPr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</w:rPr>
        <w:t>Обновите поле в Word: ПКМ -&gt; Обновить поле.</w:t>
      </w:r>
    </w:p>
    <w:p>
      <w:r>
        <w:br w:type="page"/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/>
          <w:sz w:val="32"/>
        </w:rPr>
        <w:t>Контент-анализ высказываний экспертов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sz w:val="26"/>
        </w:rPr>
        <w:t>Вопрос 72: меры расширения доступа негосударственных поставщиков социальных услуг к бюджетному финансированию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1. Методика контент-анализа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Объект и единица анализа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Объектом анализа выступил полный массив ответов экспертов на открытый вопрос анкеты о мерах, которые могли бы реально расширить доступ негосударственных поставщиков социальных услуг к бюджетному финансированию.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Единицей анализа принято атомарное высказывание: одна завершенная мысль — одна строка кодировочной матрицы. Составные ответы были дроблены на отдельные смысловые фрагменты.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Формирование корпуса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Для анализа использован только полный корпус без регионального деления: 381 исходных блоков ответов и 515 атомарных высказываний.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Такой подход позволяет не смешивать общероссийские выводы с региональной спецификой и избежать искусственного дублирования одинаковых ответов по пакетам.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Логика кодирования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Проверка показала, что прежняя схема с большим числом узких формальных кодов занижала видимость крупных смысловых направлений, прежде всего тарифной проблематики. Поэтому итоговый аналитический отчет построен на 7 укрупненных смысловых кодах. Одно высказывание могло одновременно входить в несколько направлений.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Таблица-обоснование смысловых кодов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1. Обоснование укрупненных смысловых кодов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Тематический код (направление изменений)</w:t>
            </w:r>
          </w:p>
        </w:tc>
        <w:tc>
          <w:tcPr>
            <w:tcW w:type="dxa" w:w="6123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Что входит в код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Частота</w:t>
            </w:r>
          </w:p>
        </w:tc>
        <w:tc>
          <w:tcPr>
            <w:tcW w:type="dxa" w:w="113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Доля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Экономическая модель и тарифная политика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Повышение/увеличение тарифов, индексация, пересмотр и актуализация тарифов, подушевые нормативы, полная компенсация фактических затрат, себестоимость услуги.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168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32.6%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Бюрократическая нагрузка и упрощение процедур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Реестр поставщиков, конкурсные процедуры, закупки, тендеры, лишние документы, отчетность, проверки, сроки оформления, электронный документооборот.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18.3%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Имущественная и ресурсная поддержка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Аренда, коммунальные услуги, помещения, нежилой фонд, имущество, гранты, субсидии, налоговые льготы, кадровые и иные ресурсные условия.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18.3%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Финансовая устойчивость и порядок выплат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Объем финансирования, бюджетные ассигнования, авансирование, долгосрочные договоры, кассовые разрывы, задержки выплат, лимиты, квоты, своевременная компенсация.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17.5%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Информационная открытость и обучение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Открытость информации о конкурсах и финансировании, консультации, обучение, семинары, методическая помощь, ресурсные центры, диалог с органами власти.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72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14.0%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Человекоцентричные механизмы (Сертификаты, СДУ)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Социальные сертификаты, ваучеры, «деньги следуют за получателем», система долговременного ухода, право выбора поставщика, ИППСУ, критерии нуждаемости.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11.7%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Институциональное равенство и демонополизация</w:t>
            </w:r>
          </w:p>
        </w:tc>
        <w:tc>
          <w:tcPr>
            <w:tcW w:type="dxa" w:w="6123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442-ФЗ, 189-ФЗ, региональные акты, равные условия, устранение конфликта интересов, демонополизация, конкуренция, недискриминационный доступ.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8.9%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Краткая итоговая таблица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2. Топ-7 смысловых направлений по полному корпусу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Ранг</w:t>
            </w:r>
          </w:p>
        </w:tc>
        <w:tc>
          <w:tcPr>
            <w:tcW w:type="dxa" w:w="5669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Направление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Частота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Доля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Экономическая модель и тарифная политика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168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32.6%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Бюрократическая нагрузка и упрощение процедур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18.3%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Имущественная и ресурсная поддержка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18.3%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Финансовая устойчивость и порядок выплат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17.5%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Информационная открытость и обучение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72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14.0%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Человекоцентричные механизмы (Сертификаты, СДУ)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11.7%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566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Институциональное равенство и демонополизация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8.9%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2. Результаты контент-анализа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Ниже представлены результаты пересчета полного корпуса по 7 укрупненным смысловым направлениям. Логика раздела подчинена именно этой схеме, поэтому выводы, ранжирование и рекомендации далее согласованы между собой.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2.1. Экономическая модель и тарифная политика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168 атомарных высказываниях (32.6% корпуса). В код включались: Повышение/увеличение тарифов, индексация, пересмотр и актуализация тарифов, подушевые нормативы, полная компенсация фактических затрат, себестоимость услуги.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Именно этот блок оказался ведущим. Это означает, что эксперты прежде всего видят барьер не в абстрактном отсутствии мер поддержки, а в неработающей экономике услуги: низких и заниженных тарифах, отсутствии индексации, неучете реальных затрат и необходимости пересмотра самой тарифной модели.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С академической точки зрения лидерство этого блока закономерно: тариф является концентрированным выражением всей экономической архитектуры доступа НКО к бюджетному финансированию. Через обсуждение тарифов респонденты фактически описывают одновременно проблему недофинансирования, неучета себестоимости, отсутствия индексации и структурного неравенства условий между государственными и негосударственными поставщиками.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2.2. Бюрократическая нагрузка и упрощение процедур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94 атомарных высказываниях (18.3% корпуса). В код включались: Реестр поставщиков, конкурсные процедуры, закупки, тендеры, лишние документы, отчетность, проверки, сроки оформления, электронный документооборот.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Третье место этой темы подтверждает, что даже там, где финансирование формально предусмотрено, оно часто блокируется сложными процедурами допуска, отчетности и конкурса.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2.3. Имущественная и ресурсная поддержка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94 атомарных высказываниях (18.3% корпуса). В код включались: Аренда, коммунальные услуги, помещения, нежилой фонд, имущество, гранты, субсидии, налоговые льготы, кадровые и иные ресурсные условия.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Высокая частота этого блока показывает, что доступ к бюджетному финансированию воспринимается экспертами не только как вопрос денег за услугу, но и как вопрос общих условий выживания организации: аренды, помещений, налогов, грантов и кадровых ресурсов.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2.4. Финансовая устойчивость и порядок выплат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90 атомарных высказываниях (17.5% корпуса). В код включались: Объем финансирования, бюджетные ассигнования, авансирование, долгосрочные договоры, кассовые разрывы, задержки выплат, лимиты, квоты, своевременная компенсация.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Отдельный сильный блок связан со стабильностью финансирования: объемами бюджетных ассигнований, авансированием, лимитами, кассовыми разрывами и задержками выплат.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2.5. Информационная открытость и обучение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72 атомарных высказываниях (14.0% корпуса). В код включались: Открытость информации о конкурсах и финансировании, консультации, обучение, семинары, методическая помощь, ресурсные центры, диалог с органами власти.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Заметная доля таких высказываний показывает, что часть барьеров создается не только деньгами и нормативкой, но и слабой информированностью НКО о процедурах, возможностях и правилах входа в систему.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2.6. Человекоцентричные механизмы (Сертификаты, СДУ)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60 атомарных высказываниях (11.7% корпуса). В код включались: Социальные сертификаты, ваучеры, «деньги следуют за получателем», система долговременного ухода, право выбора поставщика, ИППСУ, критерии нуждаемости.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Этот код объединяет предложения, где центр тяжести переносится на получателя услуги: сертификаты, ваучеры, право выбора поставщика, СДУ и критерии нуждаемости.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2.7. Институциональное равенство и демонополизация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Это направление зафиксировано в 46 атомарных высказываниях (8.9% корпуса). В код включались: 442-ФЗ, 189-ФЗ, региональные акты, равные условия, устранение конфликта интересов, демонополизация, конкуренция, недискриминационный доступ.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Хотя этот блок меньше остальных по частоте, он стратегически важен: здесь сконцентрированы высказывания о монополии госучреждений, конфликте интересов и необходимости равных правил игры.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2.8. Проверка тарифной темы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Для дополнительной верификации отдельно подсчитаны явные словесные группы, связанные именно с тарифами. Они подтверждают, что тема действительно является центральной.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3. Проверка тарифной темы по ключевым формулировкам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Группа формулировок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Частота</w:t>
            </w:r>
          </w:p>
        </w:tc>
      </w:tr>
      <w:tr>
        <w:tc>
          <w:tcPr>
            <w:tcW w:type="dxa" w:w="708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Повышение тарифов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</w:tr>
      <w:tr>
        <w:tc>
          <w:tcPr>
            <w:tcW w:type="dxa" w:w="708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Увеличение тарифов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</w:tr>
      <w:tr>
        <w:tc>
          <w:tcPr>
            <w:tcW w:type="dxa" w:w="708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Пересмотр и актуализация тарифов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708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Поднятие и выравнивание тарифов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2.9. Вывод по логике пересчета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Итоговая картина выглядит логично: на первом плане стоят тарифы и экономическая модель, далее идут ресурсные условия работы организаций, затем административные барьеры и финансовая устойчивость. Это более согласованная картина, чем прежний отчет, где смыслово близкие высказывания были разведены по нескольким узким кодам.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3. Практические рекомендации органам власти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1. Пересмотреть экономическую модель финансирования: повысить тарифы, ввести регулярную индексацию, учитывать реальные затраты поставщиков и себестоимость услуги.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2. Снизить бюрократическую нагрузку: упростить доступ в реестр, сократить отчетность, сделать конкурсные и закупочные процедуры менее затратными для НКО.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3. Обеспечить институциональное равенство: минимизировать монополию государственных учреждений, устранить конфликт интересов и закрепить единые правила доступа к бюджетным средствам.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4. Усилить имущественную и ресурсную поддержку: компенсировать аренду и коммунальные услуги, расширить налоговые льготы, использовать гранты и субсидии как поддерживающий инструмент.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5. Повысить финансовую устойчивость НКО: увеличить объем ассигнований, ввести авансирование, многолетние договоры и обеспечить своевременные выплаты без кассовых разрывов.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6. Развивать информационную открытость и обучение: делать понятными правила доступа к финансированию, поддерживать консультации, ресурсные центры и обучающие форматы.</w:t>
      </w:r>
    </w:p>
    <w:p>
      <w:pPr>
        <w:pStyle w:val="ListNumber"/>
        <w:spacing w:before="0" w:after="80" w:line="276" w:lineRule="auto"/>
      </w:pPr>
      <w:r>
        <w:rPr>
          <w:rFonts w:ascii="Times New Roman" w:hAnsi="Times New Roman"/>
          <w:sz w:val="24"/>
        </w:rPr>
        <w:t>7. Продвигать человекоцентричные механизмы: расширять использование сертификатов, принципа «деньги следуют за получателем», СДУ и реального права выбора поставщика.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4. Итог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Проверка логики отчета показала, что для полного корпуса наиболее адекватной является схема из 7 укрупненных смысловых кодов. Она лучше отражает реальную структуру ответов экспертов и особенно точнее показывает вес тарифной проблематики.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Документ подготовлен по полному корпусу без регионального деления. Основной вывод: ключевой запрос экспертов связан с пересмотром экономической модели финансирования, а не только с точечными административными улучшениями.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