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 w:line="276" w:lineRule="auto"/>
        <w:jc w:val="center"/>
      </w:pPr>
      <w:r>
        <w:rPr>
          <w:rFonts w:ascii="Times New Roman" w:hAnsi="Times New Roman"/>
          <w:b/>
          <w:sz w:val="28"/>
        </w:rPr>
        <w:t>АНАЛИТИЧЕСКИЙ ОТЧЕТ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/>
          <w:sz w:val="36"/>
        </w:rPr>
        <w:t>Отчет по тональности и смысловым категориям</w:t>
      </w:r>
    </w:p>
    <w:p>
      <w:pPr>
        <w:spacing w:before="0" w:after="320" w:line="276" w:lineRule="auto"/>
        <w:jc w:val="center"/>
      </w:pPr>
      <w:r>
        <w:rPr>
          <w:rFonts w:ascii="Times New Roman" w:hAnsi="Times New Roman"/>
          <w:b/>
          <w:sz w:val="26"/>
        </w:rPr>
        <w:t>Вопрос 72: меры расширения доступа негосударственных поставщиков социальных услуг к бюджетному финансированию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sz w:val="24"/>
        </w:rPr>
        <w:t>Полный корпус ответов без регионального деления</w:t>
      </w:r>
    </w:p>
    <w:p>
      <w:pPr>
        <w:spacing w:before="0" w:after="3600" w:line="276" w:lineRule="auto"/>
        <w:jc w:val="center"/>
      </w:pPr>
      <w:r>
        <w:rPr>
          <w:rFonts w:ascii="Times New Roman" w:hAnsi="Times New Roman"/>
          <w:sz w:val="24"/>
        </w:rPr>
        <w:t>Дата подготовки: 13.06.2026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sz w:val="22"/>
        </w:rPr>
        <w:t>Подготовлено на основе пересчета по 7 укрупненным смысловым кодам и 4 тональным категориям</w:t>
      </w:r>
    </w:p>
    <w:p>
      <w:r>
        <w:br w:type="page"/>
      </w:r>
    </w:p>
    <w:p>
      <w:pPr>
        <w:pStyle w:val="Heading1"/>
        <w:spacing w:before="0" w:after="160" w:line="276" w:lineRule="auto"/>
      </w:pPr>
      <w:r>
        <w:rPr>
          <w:rFonts w:ascii="Times New Roman" w:hAnsi="Times New Roman"/>
          <w:b/>
          <w:sz w:val="26"/>
        </w:rPr>
        <w:t>Оглавление</w:t>
      </w:r>
    </w:p>
    <w:p>
      <w:pPr>
        <w:spacing w:before="0" w:after="120" w:line="276" w:lineRule="auto"/>
      </w:pPr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</w:rPr>
        <w:t>Обновите поле в Word: ПКМ -&gt; Обновить поле.</w:t>
      </w:r>
    </w:p>
    <w:p>
      <w:r>
        <w:br w:type="page"/>
      </w:r>
    </w:p>
    <w:p>
      <w:pPr>
        <w:pStyle w:val="Heading1"/>
        <w:spacing w:before="160" w:after="120" w:line="276" w:lineRule="auto"/>
      </w:pPr>
      <w:r>
        <w:rPr>
          <w:rFonts w:ascii="Times New Roman" w:hAnsi="Times New Roman"/>
          <w:b/>
          <w:sz w:val="26"/>
        </w:rPr>
        <w:t>1. Методика и логика тонального анализа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Объектом анализа выступил полный корпус ответов экспертов на вопрос о мерах, которые могли бы расширить доступ негосударственных поставщиков социальных услуг к бюджетному финансированию.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Для анализа использован полный массив без регионального деления: 381 исходных блоков и 515 атомарных высказываний. Единицей анализа принято атомарное высказывание: одна завершенная мысль — одна строка.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Каждому высказыванию присваивалась одна тональная категория: позитив, конструктив, негатив или сомнение. Параллельно высказывание могло относиться к нескольким укрупненным смысловым кодам, что позволило сопоставить эмоциональную окраску с тематическим содержанием.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1.1. Правила отнесения к тональным категориям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Категория</w:t>
            </w:r>
          </w:p>
        </w:tc>
        <w:tc>
          <w:tcPr>
            <w:tcW w:type="dxa" w:w="6520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Смысл интерпретации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Частота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Позитив</w:t>
            </w:r>
          </w:p>
        </w:tc>
        <w:tc>
          <w:tcPr>
            <w:tcW w:type="dxa" w:w="65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Удовлетворенность действующими мерами, указание на отсутствие проблем или достаточность текущих решений.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Конструктив</w:t>
            </w:r>
          </w:p>
        </w:tc>
        <w:tc>
          <w:tcPr>
            <w:tcW w:type="dxa" w:w="65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Предложения по изменению правил, процедур, тарифов, механизмов финансирования и поддержки.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412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Негатив</w:t>
            </w:r>
          </w:p>
        </w:tc>
        <w:tc>
          <w:tcPr>
            <w:tcW w:type="dxa" w:w="65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Критика существующей системы, описание барьеров, убытков, задержек, дискриминации и неработающих механизмов.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33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Сомнение</w:t>
            </w:r>
          </w:p>
        </w:tc>
        <w:tc>
          <w:tcPr>
            <w:tcW w:type="dxa" w:w="65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Неопределенность, отсутствие предложений, затруднение с ответом или предельно короткая нерефлексивная реакция.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54</w:t>
            </w:r>
          </w:p>
        </w:tc>
      </w:tr>
    </w:tbl>
    <w:p>
      <w:pPr>
        <w:pStyle w:val="Heading1"/>
        <w:spacing w:before="160" w:after="120" w:line="276" w:lineRule="auto"/>
      </w:pPr>
      <w:r>
        <w:rPr>
          <w:rFonts w:ascii="Times New Roman" w:hAnsi="Times New Roman"/>
          <w:b/>
          <w:sz w:val="26"/>
        </w:rPr>
        <w:t>2. Общая картина тональности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Тональная структура корпуса показывает явное преобладание конструктивного типа ответов. Большинство экспертов не ограничиваются жалобой или общей оценкой, а формулируют конкретные управленческие предложения.</w:t>
      </w:r>
    </w:p>
    <w:p>
      <w:pPr>
        <w:spacing w:before="80" w:after="60" w:line="276" w:lineRule="auto"/>
        <w:jc w:val="center"/>
      </w:pPr>
      <w:r>
        <w:rPr>
          <w:rFonts w:ascii="Times New Roman" w:hAnsi="Times New Roman"/>
          <w:b/>
          <w:sz w:val="22"/>
        </w:rPr>
        <w:t>Таблица 1. Распределение высказываний по тональности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Тональность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Частота</w:t>
            </w:r>
          </w:p>
        </w:tc>
        <w:tc>
          <w:tcPr>
            <w:tcW w:type="dxa" w:w="1417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Доля</w:t>
            </w:r>
          </w:p>
        </w:tc>
        <w:tc>
          <w:tcPr>
            <w:tcW w:type="dxa" w:w="4535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Краткий вывод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Позитив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3.1%</w:t>
            </w:r>
          </w:p>
        </w:tc>
        <w:tc>
          <w:tcPr>
            <w:tcW w:type="dxa" w:w="45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Позитивные оценки редки и не формируют основную линию корпуса.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Конструктив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412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80.0%</w:t>
            </w:r>
          </w:p>
        </w:tc>
        <w:tc>
          <w:tcPr>
            <w:tcW w:type="dxa" w:w="45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Доминирующий тип реакции: эксперты предлагают решения и корректировки.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Негатив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33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6.4%</w:t>
            </w:r>
          </w:p>
        </w:tc>
        <w:tc>
          <w:tcPr>
            <w:tcW w:type="dxa" w:w="45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Негатив концентрируется вокруг системных барьеров и неравных условий.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Сомнение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54</w:t>
            </w:r>
          </w:p>
        </w:tc>
        <w:tc>
          <w:tcPr>
            <w:tcW w:type="dxa" w:w="141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10.5%</w:t>
            </w:r>
          </w:p>
        </w:tc>
        <w:tc>
          <w:tcPr>
            <w:tcW w:type="dxa" w:w="453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Часть ответов не содержит развернутой позиции или четкого предложения.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788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e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 w:line="276" w:lineRule="auto"/>
        <w:jc w:val="center"/>
      </w:pPr>
      <w:r>
        <w:rPr>
          <w:rFonts w:ascii="Times New Roman" w:hAnsi="Times New Roman"/>
          <w:b/>
          <w:sz w:val="22"/>
        </w:rPr>
        <w:t>Рисунок 1. Распределение полного корпуса по 4 тональным категориям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2.1. Интерпретация общей структуры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Конструктивные высказывания составляют 412 из 515 единиц (80.0%). Это означает, что экспертный корпус в целом носит проектный характер: респонденты описывают не столько настроение, сколько желаемые изменения политики.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Негативные высказывания составляют 33 (6.4%). Их доля меньше конструктивной, но именно через них наиболее отчетливо проявляются зоны конфликта: низкие тарифы, задержки выплат, монополизация и дискриминационные барьеры.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Позитивных высказываний всего 16 (3.1%), что подтверждает: корпус в основном не отражает удовлетворенность системой, а фиксирует запрос на изменение правил.</w:t>
      </w:r>
    </w:p>
    <w:p>
      <w:pPr>
        <w:pStyle w:val="Heading1"/>
        <w:spacing w:before="160" w:after="120" w:line="276" w:lineRule="auto"/>
      </w:pPr>
      <w:r>
        <w:rPr>
          <w:rFonts w:ascii="Times New Roman" w:hAnsi="Times New Roman"/>
          <w:b/>
          <w:sz w:val="26"/>
        </w:rPr>
        <w:t>3. Тональность внутри смысловых категорий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Ниже показано, как распределяется тональность внутри семи укрупненных смысловых направлений. Это позволяет понять, какие темы чаще описываются как проблемные, а какие формулируются в виде конструктивных предложений.</w:t>
      </w:r>
    </w:p>
    <w:p>
      <w:pPr>
        <w:spacing w:before="80" w:after="60" w:line="276" w:lineRule="auto"/>
        <w:jc w:val="center"/>
      </w:pPr>
      <w:r>
        <w:rPr>
          <w:rFonts w:ascii="Times New Roman" w:hAnsi="Times New Roman"/>
          <w:b/>
          <w:sz w:val="22"/>
        </w:rPr>
        <w:t>Таблица 2. Смысловые категории по тональности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65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Смысловая категория</w:t>
            </w:r>
          </w:p>
        </w:tc>
        <w:tc>
          <w:tcPr>
            <w:tcW w:type="dxa" w:w="964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Позитив</w:t>
            </w:r>
          </w:p>
        </w:tc>
        <w:tc>
          <w:tcPr>
            <w:tcW w:type="dxa" w:w="1191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Конструктив</w:t>
            </w:r>
          </w:p>
        </w:tc>
        <w:tc>
          <w:tcPr>
            <w:tcW w:type="dxa" w:w="1020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Негатив</w:t>
            </w:r>
          </w:p>
        </w:tc>
        <w:tc>
          <w:tcPr>
            <w:tcW w:type="dxa" w:w="1020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Сомнение</w:t>
            </w:r>
          </w:p>
        </w:tc>
        <w:tc>
          <w:tcPr>
            <w:tcW w:type="dxa" w:w="1020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</w:tr>
      <w:tr>
        <w:tc>
          <w:tcPr>
            <w:tcW w:type="dxa" w:w="436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Экономическая модель и тарифная политика</w:t>
            </w:r>
          </w:p>
        </w:tc>
        <w:tc>
          <w:tcPr>
            <w:tcW w:type="dxa" w:w="96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19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151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168</w:t>
            </w:r>
          </w:p>
        </w:tc>
      </w:tr>
      <w:tr>
        <w:tc>
          <w:tcPr>
            <w:tcW w:type="dxa" w:w="436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Бюрократическая нагрузка и упрощение процедур</w:t>
            </w:r>
          </w:p>
        </w:tc>
        <w:tc>
          <w:tcPr>
            <w:tcW w:type="dxa" w:w="96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19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90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94</w:t>
            </w:r>
          </w:p>
        </w:tc>
      </w:tr>
      <w:tr>
        <w:tc>
          <w:tcPr>
            <w:tcW w:type="dxa" w:w="436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Институциональное равенство и демонополизация</w:t>
            </w:r>
          </w:p>
        </w:tc>
        <w:tc>
          <w:tcPr>
            <w:tcW w:type="dxa" w:w="96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19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46</w:t>
            </w:r>
          </w:p>
        </w:tc>
      </w:tr>
      <w:tr>
        <w:tc>
          <w:tcPr>
            <w:tcW w:type="dxa" w:w="436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Имущественная и ресурсная поддержка</w:t>
            </w:r>
          </w:p>
        </w:tc>
        <w:tc>
          <w:tcPr>
            <w:tcW w:type="dxa" w:w="96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19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86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94</w:t>
            </w:r>
          </w:p>
        </w:tc>
      </w:tr>
      <w:tr>
        <w:tc>
          <w:tcPr>
            <w:tcW w:type="dxa" w:w="436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Финансовая устойчивость и порядок выплат</w:t>
            </w:r>
          </w:p>
        </w:tc>
        <w:tc>
          <w:tcPr>
            <w:tcW w:type="dxa" w:w="96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19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76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90</w:t>
            </w:r>
          </w:p>
        </w:tc>
      </w:tr>
      <w:tr>
        <w:tc>
          <w:tcPr>
            <w:tcW w:type="dxa" w:w="436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Информационная открытость и обучение</w:t>
            </w:r>
          </w:p>
        </w:tc>
        <w:tc>
          <w:tcPr>
            <w:tcW w:type="dxa" w:w="96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19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69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72</w:t>
            </w:r>
          </w:p>
        </w:tc>
      </w:tr>
      <w:tr>
        <w:tc>
          <w:tcPr>
            <w:tcW w:type="dxa" w:w="436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Человекоцентричные механизмы (Сертификаты, СДУ)</w:t>
            </w:r>
          </w:p>
        </w:tc>
        <w:tc>
          <w:tcPr>
            <w:tcW w:type="dxa" w:w="96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191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55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2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e_by_meaning_sta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 w:line="276" w:lineRule="auto"/>
        <w:jc w:val="center"/>
      </w:pPr>
      <w:r>
        <w:rPr>
          <w:rFonts w:ascii="Times New Roman" w:hAnsi="Times New Roman"/>
          <w:b/>
          <w:sz w:val="22"/>
        </w:rPr>
        <w:t>Рисунок 2. Абсолютное распределение тональности по смысловым категориям</w:t>
      </w:r>
    </w:p>
    <w:p>
      <w:pPr>
        <w:spacing w:before="80" w:after="60" w:line="276" w:lineRule="auto"/>
        <w:jc w:val="center"/>
      </w:pPr>
      <w:r>
        <w:rPr>
          <w:rFonts w:ascii="Times New Roman" w:hAnsi="Times New Roman"/>
          <w:b/>
          <w:sz w:val="22"/>
        </w:rPr>
        <w:t>Таблица 3. Доли тональности внутри каждой смысловой 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706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Смысловая категория</w:t>
            </w:r>
          </w:p>
        </w:tc>
        <w:tc>
          <w:tcPr>
            <w:tcW w:type="dxa" w:w="1134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Позитив</w:t>
            </w:r>
          </w:p>
        </w:tc>
        <w:tc>
          <w:tcPr>
            <w:tcW w:type="dxa" w:w="1247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Конструктив</w:t>
            </w:r>
          </w:p>
        </w:tc>
        <w:tc>
          <w:tcPr>
            <w:tcW w:type="dxa" w:w="1134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Негатив</w:t>
            </w:r>
          </w:p>
        </w:tc>
        <w:tc>
          <w:tcPr>
            <w:tcW w:type="dxa" w:w="1134"/>
            <w:shd w:fill="D9E2F3" w:val="clea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2"/>
              </w:rPr>
              <w:t>Сомнение</w:t>
            </w:r>
          </w:p>
        </w:tc>
      </w:tr>
      <w:tr>
        <w:tc>
          <w:tcPr>
            <w:tcW w:type="dxa" w:w="4706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Экономическая модель и тарифная политика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0.6%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89.9%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9.5%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</w:tr>
      <w:tr>
        <w:tc>
          <w:tcPr>
            <w:tcW w:type="dxa" w:w="4706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Бюрократическая нагрузка и упрощение процедур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95.7%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4.3%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</w:tr>
      <w:tr>
        <w:tc>
          <w:tcPr>
            <w:tcW w:type="dxa" w:w="4706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Институциональное равенство и демонополизация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87.0%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13.0%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</w:tr>
      <w:tr>
        <w:tc>
          <w:tcPr>
            <w:tcW w:type="dxa" w:w="4706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Имущественная и ресурсная поддержка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91.5%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7.4%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1.1%</w:t>
            </w:r>
          </w:p>
        </w:tc>
      </w:tr>
      <w:tr>
        <w:tc>
          <w:tcPr>
            <w:tcW w:type="dxa" w:w="4706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Финансовая устойчивость и порядок выплат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2.2%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84.4%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13.3%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</w:tr>
      <w:tr>
        <w:tc>
          <w:tcPr>
            <w:tcW w:type="dxa" w:w="4706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Информационная открытость и обучение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95.8%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4.2%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</w:tr>
      <w:tr>
        <w:tc>
          <w:tcPr>
            <w:tcW w:type="dxa" w:w="4706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Человекоцентричные механизмы (Сертификаты, СДУ)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0.0%</w:t>
            </w:r>
          </w:p>
        </w:tc>
        <w:tc>
          <w:tcPr>
            <w:tcW w:type="dxa" w:w="124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91.7%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6.7%</w:t>
            </w:r>
          </w:p>
        </w:tc>
        <w:tc>
          <w:tcPr>
            <w:tcW w:type="dxa" w:w="1134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sz w:val="22"/>
              </w:rPr>
              <w:t>1.7%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e_by_meaning_p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 w:line="276" w:lineRule="auto"/>
        <w:jc w:val="center"/>
      </w:pPr>
      <w:r>
        <w:rPr>
          <w:rFonts w:ascii="Times New Roman" w:hAnsi="Times New Roman"/>
          <w:b/>
          <w:sz w:val="22"/>
        </w:rPr>
        <w:t>Рисунок 3. Процентная структура тональности внутри каждой смысловой категории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3.1. Ключевые выводы по тематико-тональному профилю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Позитив: ведущие категории — Финансовая устойчивость и порядок выплат (2); Экономическая модель и тарифная политика (1).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Конструктив: ведущие категории — Экономическая модель и тарифная политика (151); Бюрократическая нагрузка и упрощение процедур (90); Имущественная и ресурсная поддержка (86).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Негатив: ведущие категории — Экономическая модель и тарифная политика (16); Финансовая устойчивость и порядок выплат (12); Имущественная и ресурсная поддержка (7).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Сомнение: ведущие категории — Имущественная и ресурсная поддержка (1); Человекоцентричные механизмы (Сертификаты, СДУ) (1).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Наибольшая концентрация негативных высказываний наблюдается там, где эксперты описывают системные экономические и институциональные барьеры. В то же время даже эти темы чаще формулируются в конструктивном ключе: через пересмотр тарифов, упрощение процедур и изменение правил финансирования.</w:t>
      </w:r>
    </w:p>
    <w:p>
      <w:pPr>
        <w:pStyle w:val="Heading1"/>
        <w:spacing w:before="160" w:after="120" w:line="276" w:lineRule="auto"/>
      </w:pPr>
      <w:r>
        <w:rPr>
          <w:rFonts w:ascii="Times New Roman" w:hAnsi="Times New Roman"/>
          <w:b/>
          <w:sz w:val="26"/>
        </w:rPr>
        <w:t>4. Примеры высказываний по тональности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Ниже приведены характерные формулировки, показывающие, как именно звучит каждая тональная категория в корпусе ответов.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4.1. Позитив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«В нашем регионе не требуется дополнительных мер к расширению доступа негосударственных поставщиков социальных услуг к бюджетному финансированию.»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«В нашем регионе нет проблем доступа к бюджетному финансированию»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«В нашем регионе принимаются достаточные меры»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«все доступно»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«все есть»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4.2. Конструктив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«Каждая, выдаваемая ИППСУ, должна быть "просчитана" и обеспечена средствами со стороны РОИВ на ее реализацию (причем не должны ставиться в приоритет гос. поставщики, поскольку каждый гражд...»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«Фильтр реестра поставщиков социальных услуг (РОИВ должен исходить из опыта работы кандидата - организации)»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«Четкое разделение финансовых обязательств (не должно быть задвоения финансирования одной организации)»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«отменить установленные лимиты, оказывать соц услуги по потребности нуждающихся»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«не урезать объём и количество соц услуг в ИППСУ»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4.3. Негатив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«Планирование со стороны Правительства лимитов бюджетных средств(известно точное число поставщиков, известно почти точное количество человек, находящихся у них на обслуживании..... ). А то...»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«Пересмотреть стоимость тарифов на социальные услуги (в настоящий момент они очень низкие и не соответствуют реальной картине стоимости услуг на рынке)»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«Агенство, при составлении ИППСУ, приоритет в услугах отдает бюджетнвм организациям, комментируя это тем, что у них госзадание и они будут в первую очередь закрывать их потребности. НПСУ п...»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«Бюджетирование (субсидирование) из регионального бюджета происходит на 1 календарный год ( до 31 декабря), без переноса лимитов на следующий год, субсидии выдаются не раньше апреля-мая, в...»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«В нашем регионе достаточное количество негосударственных поставщиков социальных услуг»</w:t>
      </w:r>
    </w:p>
    <w:p>
      <w:pPr>
        <w:pStyle w:val="Heading2"/>
        <w:spacing w:before="120" w:after="80" w:line="276" w:lineRule="auto"/>
      </w:pPr>
      <w:r>
        <w:rPr>
          <w:rFonts w:ascii="Times New Roman" w:hAnsi="Times New Roman"/>
          <w:b/>
          <w:sz w:val="24"/>
        </w:rPr>
        <w:t>4.4. Сомнение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«масштабирование»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«повышение финансовой грамотности»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«) участие в госзаказе»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«аыврвыр»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2"/>
        </w:rPr>
        <w:t>«Без комментариев»</w:t>
      </w:r>
    </w:p>
    <w:p>
      <w:pPr>
        <w:pStyle w:val="Heading1"/>
        <w:spacing w:before="160" w:after="120" w:line="276" w:lineRule="auto"/>
      </w:pPr>
      <w:r>
        <w:rPr>
          <w:rFonts w:ascii="Times New Roman" w:hAnsi="Times New Roman"/>
          <w:b/>
          <w:sz w:val="26"/>
        </w:rPr>
        <w:t>5. Итог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Тональный профиль полного корпуса показывает доминирование конструктивной модели экспертного ответа. Это означает, что респонденты в массе своей не ограничиваются оценкой существующих проблем, а формулируют перечень конкретных решений.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/>
          <w:sz w:val="24"/>
        </w:rPr>
        <w:t>Негативная тональность важна как индикатор наиболее болезненных участков системы, однако она не преобладает. Главная особенность корпуса состоит в сочетании критики барьеров с высокой проектной направленностью предложений.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