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Пересчет полного корпуса по смысловым кодам</w:t>
      </w:r>
    </w:p>
    <w:p>
      <w:r>
        <w:t>Проанализирован полный корпус без регионального деления: 381 исходных блоков и 515 атомарных высказываний.</w:t>
      </w:r>
    </w:p>
    <w:p>
      <w:r>
        <w:t>Новый пересчет выполнен не по формальным кодам ТЗ, а по 7 укрупненным смысловым направлениям. Одно высказывание могло получить несколько смысловых кодов одновременно.</w:t>
      </w:r>
    </w:p>
    <w:p>
      <w:pPr>
        <w:pStyle w:val="Heading1"/>
      </w:pPr>
      <w:r>
        <w:t>Что входит в каждый тематический код</w:t>
      </w:r>
    </w:p>
    <w:p>
      <w:pPr>
        <w:pStyle w:val="ListBullet"/>
      </w:pPr>
      <w:r>
        <w:rPr>
          <w:b/>
        </w:rPr>
        <w:t xml:space="preserve">Экономическая модель и тарифная политика. </w:t>
      </w:r>
      <w:r>
        <w:t>Повышение/увеличение тарифов, индексация, пересмотр и актуализация тарифов, подушевые нормативы, полная компенсация фактических затрат, себестоимость услуги.</w:t>
      </w:r>
    </w:p>
    <w:p>
      <w:pPr>
        <w:pStyle w:val="ListBullet"/>
      </w:pPr>
      <w:r>
        <w:rPr>
          <w:b/>
        </w:rPr>
        <w:t xml:space="preserve">Бюрократическая нагрузка и упрощение процедур. </w:t>
      </w:r>
      <w:r>
        <w:t>Реестр поставщиков, конкурсные процедуры, закупки, тендеры, лишние документы, отчетность, проверки, сроки оформления, электронный документооборот.</w:t>
      </w:r>
    </w:p>
    <w:p>
      <w:pPr>
        <w:pStyle w:val="ListBullet"/>
      </w:pPr>
      <w:r>
        <w:rPr>
          <w:b/>
        </w:rPr>
        <w:t xml:space="preserve">Институциональное равенство и демонополизация. </w:t>
      </w:r>
      <w:r>
        <w:t>442-ФЗ, 189-ФЗ, региональные акты, равные условия, устранение конфликта интересов, демонополизация, конкуренция, недискриминационный доступ.</w:t>
      </w:r>
    </w:p>
    <w:p>
      <w:pPr>
        <w:pStyle w:val="ListBullet"/>
      </w:pPr>
      <w:r>
        <w:rPr>
          <w:b/>
        </w:rPr>
        <w:t xml:space="preserve">Имущественная и ресурсная поддержка. </w:t>
      </w:r>
      <w:r>
        <w:t>Аренда, коммунальные услуги, помещения, нежилой фонд, имущество, гранты, субсидии, налоговые льготы, кадровые и иные ресурсные условия.</w:t>
      </w:r>
    </w:p>
    <w:p>
      <w:pPr>
        <w:pStyle w:val="ListBullet"/>
      </w:pPr>
      <w:r>
        <w:rPr>
          <w:b/>
        </w:rPr>
        <w:t xml:space="preserve">Финансовая устойчивость и порядок выплат. </w:t>
      </w:r>
      <w:r>
        <w:t>Объем финансирования, бюджетные ассигнования, авансирование, долгосрочные договоры, кассовые разрывы, задержки выплат, лимиты, квоты, своевременная компенсация.</w:t>
      </w:r>
    </w:p>
    <w:p>
      <w:pPr>
        <w:pStyle w:val="ListBullet"/>
      </w:pPr>
      <w:r>
        <w:rPr>
          <w:b/>
        </w:rPr>
        <w:t xml:space="preserve">Информационная открытость и обучение. </w:t>
      </w:r>
      <w:r>
        <w:t>Открытость информации о конкурсах и финансировании, консультации, обучение, семинары, методическая помощь, ресурсные центры, диалог с органами власти.</w:t>
      </w:r>
    </w:p>
    <w:p>
      <w:pPr>
        <w:pStyle w:val="ListBullet"/>
      </w:pPr>
      <w:r>
        <w:rPr>
          <w:b/>
        </w:rPr>
        <w:t xml:space="preserve">Человекоцентричные механизмы (Сертификаты, СДУ). </w:t>
      </w:r>
      <w:r>
        <w:t>Социальные сертификаты, ваучеры, «деньги следуют за получателем», система долговременного ухода, право выбора поставщика, ИППСУ, критерии нуждаемости.</w:t>
      </w:r>
    </w:p>
    <w:p>
      <w:pPr>
        <w:pStyle w:val="Heading1"/>
      </w:pPr>
      <w:r>
        <w:t>Итоги пересчета</w:t>
      </w:r>
    </w:p>
    <w:p>
      <w:pPr>
        <w:pStyle w:val="ListNumber"/>
      </w:pPr>
      <w:r>
        <w:t>1. Экономическая модель и тарифная политика — 168 высказываний (32.6%).</w:t>
      </w:r>
    </w:p>
    <w:p>
      <w:pPr>
        <w:pStyle w:val="ListNumber"/>
      </w:pPr>
      <w:r>
        <w:t>2. Бюрократическая нагрузка и упрощение процедур — 94 высказываний (18.3%).</w:t>
      </w:r>
    </w:p>
    <w:p>
      <w:pPr>
        <w:pStyle w:val="ListNumber"/>
      </w:pPr>
      <w:r>
        <w:t>3. Имущественная и ресурсная поддержка — 94 высказываний (18.3%).</w:t>
      </w:r>
    </w:p>
    <w:p>
      <w:pPr>
        <w:pStyle w:val="ListNumber"/>
      </w:pPr>
      <w:r>
        <w:t>4. Финансовая устойчивость и порядок выплат — 90 высказываний (17.5%).</w:t>
      </w:r>
    </w:p>
    <w:p>
      <w:pPr>
        <w:pStyle w:val="ListNumber"/>
      </w:pPr>
      <w:r>
        <w:t>5. Информационная открытость и обучение — 72 высказываний (14.0%).</w:t>
      </w:r>
    </w:p>
    <w:p>
      <w:pPr>
        <w:pStyle w:val="ListNumber"/>
      </w:pPr>
      <w:r>
        <w:t>6. Человекоцентричные механизмы (Сертификаты, СДУ) — 60 высказываний (11.7%).</w:t>
      </w:r>
    </w:p>
    <w:p>
      <w:pPr>
        <w:pStyle w:val="ListNumber"/>
      </w:pPr>
      <w:r>
        <w:t>7. Институциональное равенство и демонополизация — 46 высказываний (8.9%).</w:t>
      </w:r>
    </w:p>
    <w:p>
      <w:pPr>
        <w:pStyle w:val="Heading1"/>
      </w:pPr>
      <w:r>
        <w:t>Почему раньше тарифов было мало</w:t>
      </w:r>
    </w:p>
    <w:p>
      <w:r>
        <w:t>В предыдущем пересчете тема тарифов была сжата в один код «ТАРИФЫ_НОРМАТИВЫ». При этом родственные формулировки частично распадались по другим темам: компенсация затрат, финансовая устойчивость, объем финансирования, авансирование, индексирование. В новом пересчете все прямые и близкие по смыслу формулировки объединены в одно направление «Экономическая модель и тарифная политика».</w:t>
      </w:r>
    </w:p>
    <w:p>
      <w:pPr>
        <w:pStyle w:val="Heading1"/>
      </w:pPr>
      <w:r>
        <w:t>Проверка тарифных формулировок</w:t>
      </w:r>
    </w:p>
    <w:p>
      <w:pPr>
        <w:pStyle w:val="ListBullet"/>
      </w:pPr>
      <w:r>
        <w:t>Повышение тарифов — 27</w:t>
      </w:r>
    </w:p>
    <w:p>
      <w:pPr>
        <w:pStyle w:val="ListBullet"/>
      </w:pPr>
      <w:r>
        <w:t>Увеличение тарифов — 18</w:t>
      </w:r>
    </w:p>
    <w:p>
      <w:pPr>
        <w:pStyle w:val="ListBullet"/>
      </w:pPr>
      <w:r>
        <w:t>Пересмотр и актуализация тарифов — 6</w:t>
      </w:r>
    </w:p>
    <w:p>
      <w:pPr>
        <w:pStyle w:val="ListBullet"/>
      </w:pPr>
      <w:r>
        <w:t>Поднятие и выравнивание тарифов — 4</w:t>
      </w:r>
    </w:p>
    <w:p>
      <w:pPr>
        <w:pStyle w:val="Heading1"/>
      </w:pPr>
      <w:r>
        <w:t>Примеры высказываний по кодам</w:t>
      </w:r>
    </w:p>
    <w:p>
      <w:pPr>
        <w:pStyle w:val="ListNumber"/>
      </w:pPr>
      <w:r>
        <w:t>Экономическая модель и тарифная политика</w:t>
      </w:r>
    </w:p>
    <w:p>
      <w:pPr>
        <w:pStyle w:val="ListBullet"/>
      </w:pPr>
      <w:r>
        <w:t>«Равные условия финансирования деятельности для государственных и негосударственных организаций через тарифы за фактически проведенные работы»</w:t>
      </w:r>
    </w:p>
    <w:p>
      <w:pPr>
        <w:pStyle w:val="ListBullet"/>
      </w:pPr>
      <w:r>
        <w:t>«Экономически обоснованные тарифы на оплату работ по социальному обслуживанию (привлекут в систему больше профессиональных организаций)»</w:t>
      </w:r>
    </w:p>
    <w:p>
      <w:pPr>
        <w:pStyle w:val="ListBullet"/>
      </w:pPr>
      <w:r>
        <w:t>«Планирование региональных денег министерством по числу держателей ИППСУ в регионе (сейчас деньги закладываются непонятно по каким принципам»</w:t>
      </w:r>
    </w:p>
    <w:p>
      <w:pPr>
        <w:pStyle w:val="ListNumber"/>
      </w:pPr>
      <w:r>
        <w:t>Бюрократическая нагрузка и упрощение процедур</w:t>
      </w:r>
    </w:p>
    <w:p>
      <w:pPr>
        <w:pStyle w:val="ListBullet"/>
      </w:pPr>
      <w:r>
        <w:t>«Фильтр реестра поставщиков социальных услуг (РОИВ должен исходить из опыта работы кандидата - организации)»</w:t>
      </w:r>
    </w:p>
    <w:p>
      <w:pPr>
        <w:pStyle w:val="ListBullet"/>
      </w:pPr>
      <w:r>
        <w:t>«Отказ от «конкурсов с заниженной ценой» в пользу оценки качества и доступности»</w:t>
      </w:r>
    </w:p>
    <w:p>
      <w:pPr>
        <w:pStyle w:val="ListBullet"/>
      </w:pPr>
      <w:r>
        <w:t>«Создание единого Стандарта на условия по оказанию социальных услуг: стандарт оснащения помещений требования к кадрам стандарт качества предоставляемых услуг и отчетность по ним»</w:t>
      </w:r>
    </w:p>
    <w:p>
      <w:pPr>
        <w:pStyle w:val="ListNumber"/>
      </w:pPr>
      <w:r>
        <w:t>Институциональное равенство и демонополизация</w:t>
      </w:r>
    </w:p>
    <w:p>
      <w:pPr>
        <w:pStyle w:val="ListBullet"/>
      </w:pPr>
      <w:r>
        <w:t>«Равные условия финансирования деятельности для государственных и негосударственных организаций через тарифы за фактически проведенные работы»</w:t>
      </w:r>
    </w:p>
    <w:p>
      <w:pPr>
        <w:pStyle w:val="ListBullet"/>
      </w:pPr>
      <w:r>
        <w:t>«Индексация тарифов на основе объективных экономических показателей: - Закрепить на законодательном уровне механизм автоматического пересмотра тарифов на социальные услуги не реже одного р...»</w:t>
      </w:r>
    </w:p>
    <w:p>
      <w:pPr>
        <w:pStyle w:val="ListBullet"/>
      </w:pPr>
      <w:r>
        <w:t>«Переход на нормативно-подушевое финансирование («деньги следуют за получателем»). Снять ограничение с количества получателей. "Мы можем платить только на 8 человек, а в остальном живите к...»</w:t>
      </w:r>
    </w:p>
    <w:p>
      <w:pPr>
        <w:pStyle w:val="ListNumber"/>
      </w:pPr>
      <w:r>
        <w:t>Имущественная и ресурсная поддержка</w:t>
      </w:r>
    </w:p>
    <w:p>
      <w:pPr>
        <w:pStyle w:val="ListBullet"/>
      </w:pPr>
      <w:r>
        <w:t>«Индексация тарифов на основе объективных экономических показателей: - Закрепить на законодательном уровне механизм автоматического пересмотра тарифов на социальные услуги не реже одного р...»</w:t>
      </w:r>
    </w:p>
    <w:p>
      <w:pPr>
        <w:pStyle w:val="ListBullet"/>
      </w:pPr>
      <w:r>
        <w:t>«Создание регионального ресурсного центра, оказывающего консультативную и юридическую помощь НКО»</w:t>
      </w:r>
    </w:p>
    <w:p>
      <w:pPr>
        <w:pStyle w:val="ListBullet"/>
      </w:pPr>
      <w:r>
        <w:t>«Пониженные тарифы на коммунальные услуги для негосударственных поставщиков с/у»</w:t>
      </w:r>
    </w:p>
    <w:p>
      <w:pPr>
        <w:pStyle w:val="ListNumber"/>
      </w:pPr>
      <w:r>
        <w:t>Финансовая устойчивость и порядок выплат</w:t>
      </w:r>
    </w:p>
    <w:p>
      <w:pPr>
        <w:pStyle w:val="ListBullet"/>
      </w:pPr>
      <w:r>
        <w:t>«отменить установленные лимиты, оказывать соц услуги по потребности нуждающихся»</w:t>
      </w:r>
    </w:p>
    <w:p>
      <w:pPr>
        <w:pStyle w:val="ListBullet"/>
      </w:pPr>
      <w:r>
        <w:t>«Компенсация реальных затрат, а не «нормативных»»</w:t>
      </w:r>
    </w:p>
    <w:p>
      <w:pPr>
        <w:pStyle w:val="ListBullet"/>
      </w:pPr>
      <w:r>
        <w:t>«Изменить порядок финансирования, предусмотрев предоставление субсидии в виде компенсации по тарифам»</w:t>
      </w:r>
    </w:p>
    <w:p>
      <w:pPr>
        <w:pStyle w:val="ListNumber"/>
      </w:pPr>
      <w:r>
        <w:t>Информационная открытость и обучение</w:t>
      </w:r>
    </w:p>
    <w:p>
      <w:pPr>
        <w:pStyle w:val="ListBullet"/>
      </w:pPr>
      <w:r>
        <w:t>«Прозрачные правила вступления и работы в системе социального обслуживания для негосударственных поставщиков»</w:t>
      </w:r>
    </w:p>
    <w:p>
      <w:pPr>
        <w:pStyle w:val="ListBullet"/>
      </w:pPr>
      <w:r>
        <w:t>«1. Методическое сопровождение процесса определения нуждающихся и разработки иппсу.»</w:t>
      </w:r>
    </w:p>
    <w:p>
      <w:pPr>
        <w:pStyle w:val="ListBullet"/>
      </w:pPr>
      <w:r>
        <w:t>«Открытость информации о механизмах взаимодействия, финансирования для поставщиков»</w:t>
      </w:r>
    </w:p>
    <w:p>
      <w:pPr>
        <w:pStyle w:val="ListNumber"/>
      </w:pPr>
      <w:r>
        <w:t>Человекоцентричные механизмы (Сертификаты, СДУ)</w:t>
      </w:r>
    </w:p>
    <w:p>
      <w:pPr>
        <w:pStyle w:val="ListBullet"/>
      </w:pPr>
      <w:r>
        <w:t>«Каждая, выдаваемая ИППСУ, должна быть "просчитана" и обеспечена средствами со стороны РОИВ на ее реализацию (причем не должны ставиться в приоритет гос. поставщики, поскольку каждый гражд...»</w:t>
      </w:r>
    </w:p>
    <w:p>
      <w:pPr>
        <w:pStyle w:val="ListBullet"/>
      </w:pPr>
      <w:r>
        <w:t>«отменить установленные лимиты, оказывать соц услуги по потребности нуждающихся»</w:t>
      </w:r>
    </w:p>
    <w:p>
      <w:pPr>
        <w:pStyle w:val="ListBullet"/>
      </w:pPr>
      <w:r>
        <w:t>«не урезать объём и количество соц услуг в ИППСУ»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