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1696F"/>
          <w:sz w:val="56"/>
          <w:szCs w:val="56"/>
        </w:rPr>
        <w:t xml:space="preserve">АНАЛИТИЧЕСКАЯ ВЫЖИМКА</w:t>
      </w:r>
    </w:p>
    <w:p>
      <w:pPr>
        <w:pBdr>
          <w:bottom w:val="single" w:color="01696F" w:sz="12" w:space="8"/>
        </w:pBdr>
        <w:spacing w:after="360"/>
        <w:jc w:val="center"/>
      </w:pPr>
      <w:r>
        <w:rPr>
          <w:rFonts w:ascii="Arial" w:cs="Arial" w:eastAsia="Arial" w:hAnsi="Arial"/>
          <w:color w:val="7A7974"/>
          <w:sz w:val="28"/>
          <w:szCs w:val="28"/>
        </w:rPr>
        <w:t xml:space="preserve">по итогам интервью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251D"/>
          <w:sz w:val="34"/>
          <w:szCs w:val="34"/>
        </w:rPr>
        <w:t xml:space="preserve">Система социального обслуживания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28251D"/>
          <w:sz w:val="34"/>
          <w:szCs w:val="34"/>
        </w:rPr>
        <w:t xml:space="preserve">на Ямале (ЯНАО): проблемы, факты, предложения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7974"/>
          <w:sz w:val="24"/>
          <w:szCs w:val="24"/>
        </w:rPr>
        <w:t xml:space="preserve">Заготовка для отчёта и экспертного заключения</w:t>
      </w:r>
    </w:p>
    <w:p>
      <w:pPr>
        <w:spacing w:after="60" w:before="1600"/>
        <w:jc w:val="center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Источник: интервью с Сергеем Викторовичем</w:t>
      </w:r>
    </w:p>
    <w:p>
      <w:pPr>
        <w:spacing w:after="60"/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Расшифровка от 18.05.2025</w:t>
      </w:r>
    </w:p>
    <w:p>
      <w:pPr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Подготовлено: 13 июня 2026 г.</w:t>
      </w:r>
    </w:p>
    <w:p>
      <w:r>
        <w:br w:type="page"/>
      </w: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Arial" w:cs="Arial" w:eastAsia="Arial" w:hAnsi="Arial"/>
        </w:rPr>
        <w:t xml:space="preserve">Краткое резюме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За 2016–2025 годы на Ямале сложилась развитая система негосударственных поставщиков социальных услуг, признанная на федеральном уровне. К 2024 году эти поставщики обслуживали около 25 % всех нуждающихся инвалидов региона, получая при этом в 39 раз меньше финансирования, чем государственные учреждения (ГБУ). Несмотря на доказанную эффективность (продление активного долголетия, реабилитация участников СВО, инклюзия детей с ОВЗ), с 2023 года регион начал сворачивать поддержку: тарифы снижены в разы, проекты закрываются, оборудование вывозится в другие регионы.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Ключевая системная проблема — разрыв между отчётностью «на бумаге» и реальным оказанием услуг, а также правовая неопределённость в расчёте тарифов и непрозрачность финансирования. Предлагаемое решение — вариативная модель (соцзаказ / компенсация затрат / срочное обслуживание) с независимой тарифной комиссией и контролем со стороны получателей услуг.</w:t>
      </w:r>
    </w:p>
    <w:p>
      <w:pPr>
        <w:pStyle w:val="Heading1"/>
        <w:spacing w:after="60" w:before="280"/>
      </w:pPr>
      <w:r>
        <w:rPr>
          <w:rFonts w:ascii="Arial" w:cs="Arial" w:eastAsia="Arial" w:hAnsi="Arial"/>
        </w:rPr>
        <w:t xml:space="preserve">Сводная таблица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Проблема → Факт / цифра → Предложение (с привязкой к разделам интервью)</w:t>
      </w:r>
    </w:p>
    <w:tbl>
      <w:tblPr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01696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16%"/>
            <w:shd w:fill="01696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pct" w:w="26%"/>
            <w:shd w:fill="01696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pct" w:w="28%"/>
            <w:shd w:fill="01696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 / цифра</w:t>
            </w:r>
          </w:p>
        </w:tc>
        <w:tc>
          <w:tcPr>
            <w:tcW w:type="pct" w:w="26%"/>
            <w:shd w:fill="01696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Предложение / решение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Старт системы (2016)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 старте отсутствовали нормативная база, тарифы и методики; сопротивление органов власти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Первые поставщики соцуслуг на Ямале — с 2016 г.; проект «Дорога добра» работал без выходных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Формировать нормативку, тарифы и методики до запуска поставщиков; узкая специализация повышает охват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Статистика и приписки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Четыре разные цифры финансирования (регион, президент, министерство, реальность) не сходятся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Из 3 млрд негосектору — 392 млн (≈10 %); охват 25 % нуждающихся при финансировании в 39 раз меньше ГБУ. Указ президента: 10 % соцбюджета — СО НКО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Разделять категории поставщиков (СО НКО / ИП / ООО) в отчётности; обеспечить публичную сверяемость данных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Сокрытие данных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«Первичка» по поставщикам недоступна, надзорные органы ею не владеют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 соцтакси заявлено 160 млн, по факту опроса — макс. 40 млн. Суд отказал в раскрытии данных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Обязательная публикация первичных данных (поставщик → объём → услуга → финансирование) на открытом портале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3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Методика тарифа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ГБУ считают тариф «сверху вниз», а не от реальных затрат «снизу вверх»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Обратный пересчёт на суде: на одну услугу соцтакси — 2 минуты (2024 г.) и 10,5 минут (2025 г.)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Расчёт тарифа от реальной потребности и затрат (прямые + косвенные + административные), как в методике Минтруда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Фиктивная отчётность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Отчёты строятся так, будто услуги оказаны 100 % инвалидов на 100 %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Заявлено: тысячи человек совершили по 48 поездок соцтакси в год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Электронная фиксация фактического оказания услуг (карта получателя, отметка о получении)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4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Отказ от выводов по пилотам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Власти не делают выводы по 10-летнему пилоту — результаты «нелицеприятны»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Юрист правительства назвал 10 лет «необдуманными тратами»; ответ из приёмной президента — через 9 месяцев, перепечатка департамента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Независимая оценка пилотных проектов с публикацией положения, выводов и детализации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Деградация суда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Нет состязательности, регламентов, исследования доказательств на региональном уровне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 ВКС из-за незакрытого микрофона слышна договорённость суда с ответчиком; 8 юристов против истца без юробразования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Обеспечить процессуальные гарантии; рассмотреть кассацию / обращение в судебную коллегию (крайняя мера)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6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Снижение тарифа без оснований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Тариф снижен в 3 раза без обоснования, решения вводятся задним числом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Решение от 31.12.2024, соглашение — задним числом в январе; анализ выполнен с помощью ИИ за 40 тыс. ₽ вместо 500 тыс. ₽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Запретить изменение тарифа без обоснования и переходного периода; использовать ИИ-аналитику для удешевления экспертизы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Барьеры отчётности (исторически)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Чрезмерная бюрократия тормозила вход поставщиков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Ежемесячный отчёт 900–1100 страниц; документы возили за 800 км в Салехард (нет ЭДО)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Сохранять упрощённую отчётность и электронный документооборот (дали рост сектора после 2019 г.)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8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Недооценка профилактики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Сокращение услуг напрямую повышает смертность подопечных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Активные пользователи пережили ковид с минимальными потерями; среди не пользовавшихся — −35 человек за осень. Всего: 683 инвалида, &gt;100 тыс. перевозок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Признать соцуслуги фактором активного долголетия; не сокращать жизненно важные услуги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Нестабильность в регионах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Тиражированные службы не выходят на устойчивую долгосрочную работу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Опыт передан в Краснодарский край, Крым, Нижний Новгород, Башкирию; у автора — 4 машины круглосуточно по региону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Обеспечивать долгосрочное финансирование (не только разовые гранты) для устойчивости служб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10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Закрытие проектов ОВЗ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Эффективные проекты свёрнуты, оборудование утрачено для региона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До 2023 г. дети с ЗПР за 6–9 мес. возвращались в обычные группы; сейчас проекты закрыты, оборудование продано/вывезено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Закреплять за регионом оборудование, купленное на гранты; поддерживать доказавшие эффективность направления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Сворачивание с 2023 г.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Спад не связан с СВО и не объясняется дефицитом средств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Курс Медведева — переход к 2030 г. на соцзаказ/тариф; Ямал — самодостаточный регион, деньги есть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Если услуги не нужны — официально отменить нормативку; иначе — восстановить инструменты реализации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12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Игнорирование участников СВО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Закон предусматривает направление участников СВО на реабилитацию, но регион не направляет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Центр: 22 процедуры; за год — 12 реабилитированных, 6 вернулись на фронт после тяжёлых ранений; за 3 года — ни одного направления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Наладить направление участников СВО к негосударственным реабилитационным поставщикам; либо убрать неисполняемую норму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Услуги «на бумаге» в ГБУ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После перевода в госучреждение люди реально не получают услуги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~500 получателей надомного обслуживания переведены в ГБУ и не могут получить услуги; на бумаге — 100 %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Контроль фактического получения услуг через обратную связь получателей, а не отчёты учреждений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14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Клевета на поставщиков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Голословные обвинения поставщиков в недобросовестности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 суде заявлено о «преступности» 3 поставщиков — доказательств (уголовных дел) не представлено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Запретить публичные обвинения без процессуальных доказательств; защита деловой репутации поставщиков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Махинации в госсекторе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Фиктивные схемы создаются внутри госслужбы, а не у негосударственных поставщиков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Работница госслужбы создала 8 фиктивных НКО, через ИП «обслуживала» тысячи инвалидов; приговор 2 года, инкриминирован 1 месяц при многолетней деятельности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Усилить аудит госучреждений и аффилированных ИП; расследовать схемы целиком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16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Формальный госзаказ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Платформа госзаказа внедрена, но не работает прозрачно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Готовая основа — платформа соцпроектирования Фонда президентских грантов; в регионе заполняются только сумма, кол-во услуг и получателей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Достроить платформу госзаказа: тарифы, бюджеты, цели/задачи, методика работы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Рассинхрон «трёх факторов»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Закон, потребность и реализация перестали работать синхронно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Успешные аналоги: «Доступная среда» (с 2012 г., вошла в СНиП/ГОСТ), ТСР (интеграция с «Госуслугами»)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Синхронизировать цели всех уровней; оценивать систему опросом получателей через федеральный реестр инвалидов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18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Барьер входа для ИП/ООО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Госзаказ удобен НКО, но создаёт проблемы коммерческим поставщикам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НКО имеют опыт грантов; ИП/ООО работают по схеме «деньги — товар — деньги»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Для ИП/ООО — прозрачная отчётность с понятными объёмами, сроками и суммами финансирования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Искажение софинансирования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Регион требует исключать привлечённые средства из отчёта, искажая затраты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На 1 ₽ региона поставщик привлекает +2 ₽ (гранты, займы); на суде это подали как «копейка в копейку»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Учитывать в отчётности весь объём средств на услугу (включая софинансирование)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20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Правовая неопределённость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«Компенсация» по ФЗ = полное возмещение, но регионы трактуют как частичное; тариф меняется произвольно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Тариф 2300 → 884 ₽ (снижение 31.12); либо прежний расчёт неверен, либо новый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Закрепить правовую определённость и переходные периоды; единая трактовка «компенсации» как полного возмещения по ФЗ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Навязывание единой модели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Единый подход (только соцзаказ) не учитывает разнообразие поставщиков и услуг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Вариативная модель: (1) соцзаказ; (2) компенсация затрат; (3) срочное обслуживание (как в Москве/МО). Плюс окно специалиста в МФЦ и независимая комиссия по тарифам</w:t>
            </w:r>
          </w:p>
        </w:tc>
      </w:tr>
      <w:tr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22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Заключение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Видение основано на личном 10-летнем опыте и наблюдениях на федеральных площадках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Доп. источник данных — организация «Наше будущее»</w:t>
            </w:r>
          </w:p>
        </w:tc>
        <w:tc>
          <w:tcPr>
            <w:shd w:fill="F1F4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Привлечь «Наше будущее» и Фонд президентских грантов как экспертов; распространить выводы на аналогичные регионы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</w:rPr>
        <w:t xml:space="preserve">Ключевые цифры для отчёта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25 % нуждающихся инвалидов региона обслуживали негосударственные поставщики (данные Минтруда,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 39 раз меньше финансирования у негосударственных поставщиков по сравнению с ГБУ.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392 млн ₽ заявлено на негосударственный сектор; по опросу поставщиков — кратно меньше (на соцтакси заявлено 160 млн, по факту — макс. 40 млн).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683 инвалида обслужено за 2016–2025 гг., более 100 тыс. перевозок.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−35 человек за одну осень среди тех, кто не пользовался услугами (в сравнении с активными пользователями).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12 участников СВО реабилитировано за год, 6 вернулись на фронт; 22 процедуры в реабилитационном центре.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~500 получателей надомного обслуживания переведены в ГБУ без фактического получения услуг.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Тариф снижен с 2300 до 884 ₽ (31.12.2024), а ранее — в 3 раза без обоснования.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Соотношение софинансирования: 1 ₽ региона = +2 ₽ привлечённых средств.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Анализ выполнен за 40 тыс. ₽ (с помощью ИИ) вместо 500 тыс. ₽ (юрфирма).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Выводы и рекомендации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Три системные проблемы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Разрыв «бумага vs реальность». </w:t>
      </w:r>
      <w:r>
        <w:rPr>
          <w:rFonts w:ascii="Arial" w:cs="Arial" w:eastAsia="Arial" w:hAnsi="Arial"/>
          <w:sz w:val="21"/>
          <w:szCs w:val="21"/>
        </w:rPr>
        <w:t xml:space="preserve">Отчётность строится на фиктивных и приписанных услугах; реальный охват и качество не контролируются (разделы 2, 3, 13).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Непрозрачность и недоступность первичных данных. </w:t>
      </w:r>
      <w:r>
        <w:rPr>
          <w:rFonts w:ascii="Arial" w:cs="Arial" w:eastAsia="Arial" w:hAnsi="Arial"/>
          <w:sz w:val="21"/>
          <w:szCs w:val="21"/>
        </w:rPr>
        <w:t xml:space="preserve">Финансовая «первичка» не публикуется, надзорные органы ею не владеют, в суде в раскрытии отказано (разделы 2, 5, 19).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Правовая неопределённость и произвол в тарифах. </w:t>
      </w:r>
      <w:r>
        <w:rPr>
          <w:rFonts w:ascii="Arial" w:cs="Arial" w:eastAsia="Arial" w:hAnsi="Arial"/>
          <w:sz w:val="21"/>
          <w:szCs w:val="21"/>
        </w:rPr>
        <w:t xml:space="preserve">Тарифы меняются задним числом и без обоснования, нет переходных периодов и единой трактовки «компенсации» (разделы 6, 20).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Три предложения-решения (ядро реформы)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Вариативная модель </w:t>
      </w:r>
      <w:r>
        <w:rPr>
          <w:rFonts w:ascii="Arial" w:cs="Arial" w:eastAsia="Arial" w:hAnsi="Arial"/>
          <w:sz w:val="21"/>
          <w:szCs w:val="21"/>
        </w:rPr>
        <w:t xml:space="preserve">работы поставщиков: соцзаказ + компенсация затрат + срочное обслуживание (раздел 21).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Независимая тарифная комиссия </w:t>
      </w:r>
      <w:r>
        <w:rPr>
          <w:rFonts w:ascii="Arial" w:cs="Arial" w:eastAsia="Arial" w:hAnsi="Arial"/>
          <w:sz w:val="21"/>
          <w:szCs w:val="21"/>
        </w:rPr>
        <w:t xml:space="preserve">и единая методика расчёта «снизу вверх» по реальным затратам (разделы 3, 21).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Контроль через получателей услуг </w:t>
      </w:r>
      <w:r>
        <w:rPr>
          <w:rFonts w:ascii="Arial" w:cs="Arial" w:eastAsia="Arial" w:hAnsi="Arial"/>
          <w:sz w:val="21"/>
          <w:szCs w:val="21"/>
        </w:rPr>
        <w:t xml:space="preserve">(опрос по федеральному реестру инвалидов) и обязательная публикация первичных данных (разделы 13, 17, 2).</w:t>
      </w:r>
    </w:p>
    <w:p>
      <w:pPr>
        <w:pBdr>
          <w:top w:val="single" w:color="D4D1CA" w:sz="4" w:space="8"/>
        </w:pBdr>
        <w:spacing w:before="40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Источник: интервью с Сергеем Викторовичем, расшифровка от 18.05.2025. Все факты и цифры приведены со слов интервьюируемого и требуют документального подтверждения первичными данными при использовании в официальном заключении.</w:t>
      </w:r>
    </w:p>
    <w:sectPr>
      <w:headerReference w:type="default" r:id="rId7"/>
      <w:footerReference w:type="default" r:id="rId8"/>
      <w:pgSz w:w="11906" w:h="16838" w:orient="portrait"/>
      <w:pgMar w:top="1400" w:right="1000" w:bottom="1200" w:left="10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1CA" w:sz="4" w:space="4"/>
      </w:pBd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Страница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из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1CA" w:sz="4" w:space="4"/>
      </w:pBdr>
      <w:jc w:val="right"/>
    </w:pPr>
    <w:r>
      <w:rPr>
        <w:rFonts w:ascii="Arial" w:cs="Arial" w:eastAsia="Arial" w:hAnsi="Arial"/>
        <w:color w:val="7A7974"/>
        <w:sz w:val="16"/>
        <w:szCs w:val="16"/>
      </w:rPr>
      <w:t xml:space="preserve">Аналитическая выжимка · Соцобслуживание на Ямале (ЯНАО)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169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C4E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выжимка — Соцобслуживание на Ямале</dc:title>
  <dc:creator>Perplexity Computer</dc:creator>
  <cp:lastModifiedBy>Un-named</cp:lastModifiedBy>
  <cp:revision>1</cp:revision>
  <dcterms:created xsi:type="dcterms:W3CDTF">2026-06-13T15:09:05.296Z</dcterms:created>
  <dcterms:modified xsi:type="dcterms:W3CDTF">2026-06-13T15:09:05.296Z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