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sz w:val="24"/>
          <w:szCs w:val="24"/>
        </w:rPr>
        <w:t xml:space="preserve">РКООИ "Центр информационной поддержки "Таганай"</w:t>
      </w:r>
    </w:p>
    <w:p>
      <w:pPr>
        <w:spacing w:after="1000"/>
        <w:jc w:val="center"/>
      </w:pPr>
      <w:r>
        <w:rPr>
          <w:rFonts w:ascii="Arial" w:cs="Arial" w:eastAsia="Arial" w:hAnsi="Arial"/>
          <w:color w:val="7A7974"/>
          <w:sz w:val="22"/>
          <w:szCs w:val="22"/>
        </w:rPr>
        <w:t xml:space="preserve">г. Ноябрьск, Ямало-Ненецкий автономный округ</w:t>
      </w:r>
    </w:p>
    <w:p>
      <w:pPr>
        <w:spacing w:after="300" w:before="600"/>
        <w:jc w:val="center"/>
      </w:pPr>
      <w:r>
        <w:rPr>
          <w:rFonts w:ascii="Arial" w:cs="Arial" w:eastAsia="Arial" w:hAnsi="Arial"/>
          <w:b/>
          <w:bCs/>
          <w:color w:val="01696F"/>
          <w:sz w:val="36"/>
          <w:szCs w:val="36"/>
        </w:rPr>
        <w:t xml:space="preserve">ДОПОЛНИТЕЛЬНЫЙ БЛОК</w:t>
      </w:r>
    </w:p>
    <w:p>
      <w:pPr>
        <w:spacing w:after="400"/>
        <w:jc w:val="center"/>
      </w:pPr>
      <w:r>
        <w:rPr>
          <w:rFonts w:ascii="Arial" w:cs="Arial" w:eastAsia="Arial" w:hAnsi="Arial"/>
          <w:sz w:val="26"/>
          <w:szCs w:val="26"/>
        </w:rPr>
        <w:t xml:space="preserve">к Отчёту №1 о расходах на оказание услуг социального такси за 2024 год</w:t>
      </w:r>
    </w:p>
    <w:p>
      <w:pPr>
        <w:spacing w:after="1200" w:before="600"/>
        <w:jc w:val="center"/>
      </w:pPr>
      <w:r>
        <w:rPr>
          <w:rFonts w:ascii="Arial" w:cs="Arial" w:eastAsia="Arial" w:hAnsi="Arial"/>
          <w:b/>
          <w:bCs/>
          <w:color w:val="28251D"/>
          <w:sz w:val="24"/>
          <w:szCs w:val="24"/>
        </w:rPr>
        <w:t xml:space="preserve">Анализ полной экономической себестоимости одной услуги социального такси с учётом фактически понесённого убытка и расхождения между числом оказанных и оплаченных услуг</w:t>
      </w:r>
    </w:p>
    <w:p>
      <w:pPr>
        <w:spacing w:after="200"/>
        <w:jc w:val="center"/>
      </w:pPr>
      <w:r>
        <w:rPr>
          <w:rFonts w:ascii="Arial" w:cs="Arial" w:eastAsia="Arial" w:hAnsi="Arial"/>
          <w:sz w:val="22"/>
          <w:szCs w:val="22"/>
        </w:rPr>
        <w:t xml:space="preserve">Подготовлен для представления в суд</w:t>
      </w:r>
    </w:p>
    <w:p>
      <w:pPr>
        <w:spacing w:after="1800"/>
        <w:jc w:val="center"/>
      </w:pPr>
      <w:r>
        <w:rPr>
          <w:rFonts w:ascii="Arial" w:cs="Arial" w:eastAsia="Arial" w:hAnsi="Arial"/>
          <w:sz w:val="22"/>
          <w:szCs w:val="22"/>
        </w:rPr>
        <w:t xml:space="preserve">по делу об оспаривании нормативных актов Правительства ЯНАО и ДСЗН ЯНАО</w:t>
      </w:r>
    </w:p>
    <w:p>
      <w:pPr>
        <w:jc w:val="center"/>
      </w:pPr>
      <w:r>
        <w:rPr>
          <w:rFonts w:ascii="Arial" w:cs="Arial" w:eastAsia="Arial" w:hAnsi="Arial"/>
          <w:color w:val="7A7974"/>
          <w:sz w:val="22"/>
          <w:szCs w:val="22"/>
        </w:rPr>
        <w:t xml:space="preserve">г. Ноябрьск, 2026</w:t>
      </w:r>
    </w:p>
    <w:p>
      <w:r>
        <w:br w:type="page"/>
      </w:r>
    </w:p>
    <w:p>
      <w:pPr>
        <w:pStyle w:val="Heading1"/>
        <w:spacing w:after="200" w:before="360"/>
      </w:pPr>
      <w:r>
        <w:rPr>
          <w:rFonts w:ascii="Arial" w:cs="Arial" w:eastAsia="Arial" w:hAnsi="Arial"/>
          <w:b/>
          <w:bCs/>
          <w:color w:val="01696F"/>
          <w:sz w:val="32"/>
          <w:szCs w:val="32"/>
        </w:rPr>
        <w:t xml:space="preserve">1. Постановка вопроса</w:t>
      </w:r>
    </w:p>
    <w:p>
      <w:pPr>
        <w:spacing w:after="120" w:line="300"/>
        <w:ind w:firstLine="709"/>
        <w:jc w:val="both"/>
      </w:pPr>
      <w:r>
        <w:rPr>
          <w:rFonts w:ascii="Arial" w:cs="Arial" w:eastAsia="Arial" w:hAnsi="Arial"/>
          <w:sz w:val="22"/>
          <w:szCs w:val="22"/>
        </w:rPr>
        <w:t xml:space="preserve">В разделе 12 Отчёта №1 указана себестоимость одной услуги социального такси за 2024 год — 2 162,53 ₽. Действовавший в 2024 году тариф составлял 2 300,00 ₽ за услугу. При этом организация по итогам года понесла убыток в размере 4 887 437,28 ₽ от деятельности по социальному такси.</w:t>
      </w:r>
    </w:p>
    <w:p>
      <w:pPr>
        <w:spacing w:after="120" w:line="300"/>
        <w:ind w:firstLine="709"/>
        <w:jc w:val="both"/>
      </w:pPr>
      <w:r>
        <w:rPr>
          <w:rFonts w:ascii="Arial" w:cs="Arial" w:eastAsia="Arial" w:hAnsi="Arial"/>
          <w:sz w:val="22"/>
          <w:szCs w:val="22"/>
        </w:rPr>
        <w:t xml:space="preserve">Возникает закономерный вопрос: почему при себестоимости 2 162,53 ₽ и тарифе 2 300 ₽ (то есть при положительной разнице 137,47 ₽ на услугу) организация всё-таки получила убыток в почти 5 млн рублей? Простая арифметика 7 061 услуга × 137,47 ₽ = 970 590 ₽ должна была дать положительный финансовый результат, а не убыток.</w:t>
      </w:r>
    </w:p>
    <w:p>
      <w:pPr>
        <w:spacing w:after="120" w:line="300"/>
        <w:ind w:firstLine="709"/>
        <w:jc w:val="both"/>
      </w:pPr>
      <w:r>
        <w:rPr>
          <w:rFonts w:ascii="Arial" w:cs="Arial" w:eastAsia="Arial" w:hAnsi="Arial"/>
          <w:sz w:val="22"/>
          <w:szCs w:val="22"/>
        </w:rPr>
        <w:t xml:space="preserve">Настоящий дополнительный блок объясняет это кажущееся противоречие, раскрывает экономическую природу убытка и показывает, какова была бы реальная (полная) себестоимость одной услуги при условии возмещения всех фактически оказанных услуг государством — как того требует статья 30 Федерального закона № 442-ФЗ.</w:t>
      </w:r>
    </w:p>
    <w:p>
      <w:pPr>
        <w:pStyle w:val="Heading1"/>
        <w:spacing w:after="200" w:before="360"/>
      </w:pPr>
      <w:r>
        <w:rPr>
          <w:rFonts w:ascii="Arial" w:cs="Arial" w:eastAsia="Arial" w:hAnsi="Arial"/>
          <w:b/>
          <w:bCs/>
          <w:color w:val="01696F"/>
          <w:sz w:val="32"/>
          <w:szCs w:val="32"/>
        </w:rPr>
        <w:t xml:space="preserve">2. Разъяснение противоречия: «оказанные» vs «оплаченные» услуги</w:t>
      </w:r>
    </w:p>
    <w:p>
      <w:pPr>
        <w:spacing w:after="120" w:line="300"/>
        <w:ind w:firstLine="709"/>
        <w:jc w:val="both"/>
      </w:pPr>
      <w:r>
        <w:rPr>
          <w:rFonts w:ascii="Arial" w:cs="Arial" w:eastAsia="Arial" w:hAnsi="Arial"/>
          <w:sz w:val="22"/>
          <w:szCs w:val="22"/>
        </w:rPr>
        <w:t xml:space="preserve">Ключ к пониманию убытка лежит в принципиальном различии двух показателей:</w:t>
      </w:r>
    </w:p>
    <w:p>
      <w:pPr>
        <w:pStyle w:val="ListParagraph"/>
        <w:numPr>
          <w:ilvl w:val="0"/>
          <w:numId w:val="2"/>
        </w:numPr>
        <w:spacing w:after="80"/>
      </w:pPr>
      <w:r>
        <w:rPr>
          <w:rFonts w:ascii="Arial" w:cs="Arial" w:eastAsia="Arial" w:hAnsi="Arial"/>
          <w:sz w:val="22"/>
          <w:szCs w:val="22"/>
        </w:rPr>
        <w:t xml:space="preserve">Количество фактически оказанных услуг — то есть выполненных поездок инвалидов в течение 2024 года (по журналу заявок "Заявки 2024"): 7 061 поездка.</w:t>
      </w:r>
    </w:p>
    <w:p>
      <w:pPr>
        <w:pStyle w:val="ListParagraph"/>
        <w:numPr>
          <w:ilvl w:val="0"/>
          <w:numId w:val="2"/>
        </w:numPr>
        <w:spacing w:after="80"/>
      </w:pPr>
      <w:r>
        <w:rPr>
          <w:rFonts w:ascii="Arial" w:cs="Arial" w:eastAsia="Arial" w:hAnsi="Arial"/>
          <w:sz w:val="22"/>
          <w:szCs w:val="22"/>
        </w:rPr>
        <w:t xml:space="preserve">Количество услуг, оплаченных государством из бюджета ЯНАО по соглашению № 24-24: эквивалентно 10 382 200 ₽ / 2 300 ₽ = 4 514 услуг.</w:t>
      </w:r>
    </w:p>
    <w:p>
      <w:pPr>
        <w:spacing w:after="120" w:line="300"/>
        <w:ind w:firstLine="709"/>
        <w:jc w:val="both"/>
      </w:pPr>
      <w:r>
        <w:rPr>
          <w:rFonts w:ascii="Arial" w:cs="Arial" w:eastAsia="Arial" w:hAnsi="Arial"/>
          <w:sz w:val="22"/>
          <w:szCs w:val="22"/>
        </w:rPr>
        <w:t xml:space="preserve">Таким образом, в 2024 году:</w:t>
      </w:r>
    </w:p>
    <w:p>
      <w:pPr>
        <w:spacing w:after="120" w:line="300"/>
        <w:ind w:firstLine="709"/>
        <w:jc w:val="both"/>
      </w:pPr>
      <w:r>
        <w:rPr>
          <w:rFonts w:ascii="Arial" w:cs="Arial" w:eastAsia="Arial" w:hAnsi="Arial"/>
          <w:b/>
          <w:bCs/>
          <w:sz w:val="22"/>
          <w:szCs w:val="22"/>
        </w:rPr>
        <w:t xml:space="preserve">7 061 услуга была фактически оказана инвалидам, </w:t>
      </w:r>
      <w:r>
        <w:rPr>
          <w:rFonts w:ascii="Arial" w:cs="Arial" w:eastAsia="Arial" w:hAnsi="Arial"/>
          <w:sz w:val="22"/>
          <w:szCs w:val="22"/>
        </w:rPr>
        <w:t xml:space="preserve">но только </w:t>
      </w:r>
      <w:r>
        <w:rPr>
          <w:rFonts w:ascii="Arial" w:cs="Arial" w:eastAsia="Arial" w:hAnsi="Arial"/>
          <w:b/>
          <w:bCs/>
          <w:sz w:val="22"/>
          <w:szCs w:val="22"/>
        </w:rPr>
        <w:t xml:space="preserve">4 514 услуг (64%) были возмещены государством </w:t>
      </w:r>
      <w:r>
        <w:rPr>
          <w:rFonts w:ascii="Arial" w:cs="Arial" w:eastAsia="Arial" w:hAnsi="Arial"/>
          <w:sz w:val="22"/>
          <w:szCs w:val="22"/>
        </w:rPr>
        <w:t xml:space="preserve">из окружного бюджета по утверждённому тарифу 2 300 ₽.</w:t>
      </w:r>
    </w:p>
    <w:p>
      <w:pPr>
        <w:spacing w:after="120" w:line="300"/>
        <w:ind w:firstLine="709"/>
        <w:jc w:val="both"/>
      </w:pPr>
      <w:r>
        <w:rPr>
          <w:rFonts w:ascii="Arial" w:cs="Arial" w:eastAsia="Arial" w:hAnsi="Arial"/>
          <w:b/>
          <w:bCs/>
          <w:color w:val="A12C7B"/>
          <w:sz w:val="22"/>
          <w:szCs w:val="22"/>
        </w:rPr>
        <w:t xml:space="preserve">2 547 услуг (36%) </w:t>
      </w:r>
      <w:r>
        <w:rPr>
          <w:rFonts w:ascii="Arial" w:cs="Arial" w:eastAsia="Arial" w:hAnsi="Arial"/>
          <w:sz w:val="22"/>
          <w:szCs w:val="22"/>
        </w:rPr>
        <w:t xml:space="preserve">были оказаны организацией </w:t>
      </w:r>
      <w:r>
        <w:rPr>
          <w:rFonts w:ascii="Arial" w:cs="Arial" w:eastAsia="Arial" w:hAnsi="Arial"/>
          <w:b/>
          <w:bCs/>
          <w:color w:val="A12C7B"/>
          <w:sz w:val="22"/>
          <w:szCs w:val="22"/>
        </w:rPr>
        <w:t xml:space="preserve">за свой счёт </w:t>
      </w:r>
      <w:r>
        <w:rPr>
          <w:rFonts w:ascii="Arial" w:cs="Arial" w:eastAsia="Arial" w:hAnsi="Arial"/>
          <w:sz w:val="22"/>
          <w:szCs w:val="22"/>
        </w:rPr>
        <w:t xml:space="preserve">— без какого-либо государственного возмещения. Финансирование этих услуг осуществлялось за счёт привлечения собственных средств учредителей, договоров займов с директорами и иных кредитных средств (см. раздел 12.1 Отчёта №1).</w:t>
      </w:r>
    </w:p>
    <w:p>
      <w:pPr>
        <w:pStyle w:val="Heading2"/>
        <w:spacing w:after="160" w:before="280"/>
      </w:pPr>
      <w:r>
        <w:rPr>
          <w:rFonts w:ascii="Arial" w:cs="Arial" w:eastAsia="Arial" w:hAnsi="Arial"/>
          <w:b/>
          <w:bCs/>
          <w:color w:val="28251D"/>
          <w:sz w:val="26"/>
          <w:szCs w:val="26"/>
        </w:rPr>
        <w:t xml:space="preserve">2.1. Иллюстрация на цифрах</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2400"/>
      </w:tblGrid>
      <w:tr>
        <w:trPr>
          <w:cantSplit/>
        </w:trPr>
        <w:tc>
          <w:tcPr>
            <w:tcW w:type="dxa" w:w="50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Показатель</w:t>
            </w:r>
          </w:p>
        </w:tc>
        <w:tc>
          <w:tcPr>
            <w:tcW w:type="dxa" w:w="25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Значение</w:t>
            </w:r>
          </w:p>
        </w:tc>
        <w:tc>
          <w:tcPr>
            <w:tcW w:type="dxa" w:w="24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Примечание</w:t>
            </w:r>
          </w:p>
        </w:tc>
      </w:tr>
      <w:tr>
        <w:trPr>
          <w:cantSplit/>
        </w:trPr>
        <w:tc>
          <w:tcPr>
            <w:tcW w:type="dxa" w:w="5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Фактически оказано услуг</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sz w:val="20"/>
                <w:szCs w:val="20"/>
              </w:rPr>
              <w:t xml:space="preserve">7 061</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Журнал заявок 2024</w:t>
            </w:r>
          </w:p>
        </w:tc>
      </w:tr>
      <w:tr>
        <w:trPr>
          <w:cantSplit/>
        </w:trPr>
        <w:tc>
          <w:tcPr>
            <w:tcW w:type="dxa" w:w="5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Оплачено государством (соглашение 24-24)</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10 382 200,00</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Свод 2024-2025</w:t>
            </w:r>
          </w:p>
        </w:tc>
      </w:tr>
      <w:tr>
        <w:trPr>
          <w:cantSplit/>
        </w:trPr>
        <w:tc>
          <w:tcPr>
            <w:tcW w:type="dxa" w:w="5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Тариф за 1 услугу в 2024 году</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2 300,00</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Утверждён ДСЗН ЯНАО</w:t>
            </w:r>
          </w:p>
        </w:tc>
      </w:tr>
      <w:tr>
        <w:trPr>
          <w:cantSplit/>
        </w:trPr>
        <w:tc>
          <w:tcPr>
            <w:tcW w:type="dxa" w:w="5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bCs/>
                <w:sz w:val="20"/>
                <w:szCs w:val="20"/>
              </w:rPr>
              <w:t xml:space="preserve">Эквивалент оплаченных услуг (10 382 200 / 2 300)</w:t>
            </w:r>
          </w:p>
        </w:tc>
        <w:tc>
          <w:tcPr>
            <w:tcW w:type="dxa" w:w="2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color w:val="01696F"/>
                <w:sz w:val="20"/>
                <w:szCs w:val="20"/>
              </w:rPr>
              <w:t xml:space="preserve">4 514</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Расчёт</w:t>
            </w:r>
          </w:p>
        </w:tc>
      </w:tr>
      <w:tr>
        <w:trPr>
          <w:cantSplit/>
        </w:trPr>
        <w:tc>
          <w:tcPr>
            <w:tcW w:type="dxa" w:w="5000"/>
            <w:tcBorders>
              <w:top w:val="single" w:color="808080" w:sz="4"/>
              <w:left w:val="single" w:color="808080" w:sz="4"/>
              <w:bottom w:val="single" w:color="808080" w:sz="4"/>
              <w:right w:val="single" w:color="808080" w:sz="4"/>
            </w:tcBorders>
            <w:shd w:fill="FFCCCC"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Услуг, оказанных БЕЗ возмещения</w:t>
            </w:r>
          </w:p>
        </w:tc>
        <w:tc>
          <w:tcPr>
            <w:tcW w:type="dxa" w:w="2500"/>
            <w:tcBorders>
              <w:top w:val="single" w:color="808080" w:sz="4"/>
              <w:left w:val="single" w:color="808080" w:sz="4"/>
              <w:bottom w:val="single" w:color="808080" w:sz="4"/>
              <w:right w:val="single" w:color="808080" w:sz="4"/>
            </w:tcBorders>
            <w:shd w:fill="FFCCCC" w:val="clear"/>
            <w:tcMar>
              <w:top w:type="dxa" w:w="80"/>
              <w:left w:type="dxa" w:w="100"/>
              <w:bottom w:type="dxa" w:w="80"/>
              <w:right w:type="dxa" w:w="100"/>
            </w:tcMar>
            <w:vAlign w:val="center"/>
          </w:tcPr>
          <w:p>
            <w:pPr>
              <w:jc w:val="right"/>
            </w:pPr>
            <w:r>
              <w:rPr>
                <w:rFonts w:ascii="Arial" w:cs="Arial" w:eastAsia="Arial" w:hAnsi="Arial"/>
                <w:b/>
                <w:bCs/>
                <w:color w:val="A12C7B"/>
                <w:sz w:val="20"/>
                <w:szCs w:val="20"/>
              </w:rPr>
              <w:t xml:space="preserve">2 547</w:t>
            </w:r>
          </w:p>
        </w:tc>
        <w:tc>
          <w:tcPr>
            <w:tcW w:type="dxa" w:w="2400"/>
            <w:tcBorders>
              <w:top w:val="single" w:color="808080" w:sz="4"/>
              <w:left w:val="single" w:color="808080" w:sz="4"/>
              <w:bottom w:val="single" w:color="808080" w:sz="4"/>
              <w:right w:val="single" w:color="808080" w:sz="4"/>
            </w:tcBorders>
            <w:shd w:fill="FFCCCC" w:val="clear"/>
            <w:tcMar>
              <w:top w:type="dxa" w:w="80"/>
              <w:left w:type="dxa" w:w="100"/>
              <w:bottom w:type="dxa" w:w="80"/>
              <w:right w:type="dxa" w:w="100"/>
            </w:tcMar>
            <w:vAlign w:val="center"/>
          </w:tcPr>
          <w:p>
            <w:pPr>
              <w:jc w:val="left"/>
            </w:pPr>
            <w:r>
              <w:rPr>
                <w:rFonts w:ascii="Arial" w:cs="Arial" w:eastAsia="Arial" w:hAnsi="Arial"/>
                <w:sz w:val="20"/>
                <w:szCs w:val="20"/>
              </w:rPr>
              <w:t xml:space="preserve">7 061 − 4 514</w:t>
            </w:r>
          </w:p>
        </w:tc>
      </w:tr>
      <w:tr>
        <w:trPr>
          <w:cantSplit/>
        </w:trPr>
        <w:tc>
          <w:tcPr>
            <w:tcW w:type="dxa" w:w="5000"/>
            <w:tcBorders>
              <w:top w:val="single" w:color="808080" w:sz="4"/>
              <w:left w:val="single" w:color="808080" w:sz="4"/>
              <w:bottom w:val="single" w:color="808080" w:sz="4"/>
              <w:right w:val="single" w:color="808080" w:sz="4"/>
            </w:tcBorders>
            <w:shd w:fill="FFCCCC" w:val="clear"/>
            <w:tcMar>
              <w:top w:type="dxa" w:w="80"/>
              <w:left w:type="dxa" w:w="100"/>
              <w:bottom w:type="dxa" w:w="80"/>
              <w:right w:type="dxa" w:w="100"/>
            </w:tcMar>
            <w:vAlign w:val="center"/>
          </w:tcPr>
          <w:p>
            <w:pPr>
              <w:jc w:val="left"/>
            </w:pPr>
            <w:r>
              <w:rPr>
                <w:rFonts w:ascii="Arial" w:cs="Arial" w:eastAsia="Arial" w:hAnsi="Arial"/>
                <w:sz w:val="20"/>
                <w:szCs w:val="20"/>
              </w:rPr>
              <w:t xml:space="preserve">Доля услуг без возмещения</w:t>
            </w:r>
          </w:p>
        </w:tc>
        <w:tc>
          <w:tcPr>
            <w:tcW w:type="dxa" w:w="2500"/>
            <w:tcBorders>
              <w:top w:val="single" w:color="808080" w:sz="4"/>
              <w:left w:val="single" w:color="808080" w:sz="4"/>
              <w:bottom w:val="single" w:color="808080" w:sz="4"/>
              <w:right w:val="single" w:color="808080" w:sz="4"/>
            </w:tcBorders>
            <w:shd w:fill="FFCCCC" w:val="clear"/>
            <w:tcMar>
              <w:top w:type="dxa" w:w="80"/>
              <w:left w:type="dxa" w:w="100"/>
              <w:bottom w:type="dxa" w:w="80"/>
              <w:right w:type="dxa" w:w="100"/>
            </w:tcMar>
            <w:vAlign w:val="center"/>
          </w:tcPr>
          <w:p>
            <w:pPr>
              <w:jc w:val="right"/>
            </w:pPr>
            <w:r>
              <w:rPr>
                <w:rFonts w:ascii="Arial" w:cs="Arial" w:eastAsia="Arial" w:hAnsi="Arial"/>
                <w:b/>
                <w:bCs/>
                <w:color w:val="A12C7B"/>
                <w:sz w:val="20"/>
                <w:szCs w:val="20"/>
              </w:rPr>
              <w:t xml:space="preserve">36,07%</w:t>
            </w:r>
          </w:p>
        </w:tc>
        <w:tc>
          <w:tcPr>
            <w:tcW w:type="dxa" w:w="2400"/>
            <w:tcBorders>
              <w:top w:val="single" w:color="808080" w:sz="4"/>
              <w:left w:val="single" w:color="808080" w:sz="4"/>
              <w:bottom w:val="single" w:color="808080" w:sz="4"/>
              <w:right w:val="single" w:color="808080" w:sz="4"/>
            </w:tcBorders>
            <w:shd w:fill="FFCCCC" w:val="clear"/>
            <w:tcMar>
              <w:top w:type="dxa" w:w="80"/>
              <w:left w:type="dxa" w:w="100"/>
              <w:bottom w:type="dxa" w:w="80"/>
              <w:right w:type="dxa" w:w="100"/>
            </w:tcMar>
            <w:vAlign w:val="center"/>
          </w:tcPr>
          <w:p>
            <w:pPr>
              <w:jc w:val="left"/>
            </w:pPr>
            <w:r>
              <w:rPr>
                <w:rFonts w:ascii="Arial" w:cs="Arial" w:eastAsia="Arial" w:hAnsi="Arial"/>
                <w:sz w:val="20"/>
                <w:szCs w:val="20"/>
              </w:rPr>
              <w:t xml:space="preserve">2 547 / 7 061</w:t>
            </w:r>
          </w:p>
        </w:tc>
      </w:tr>
    </w:tbl>
    <w:p>
      <w:pPr>
        <w:spacing w:before="200"/>
      </w:pPr>
    </w:p>
    <w:p>
      <w:pPr>
        <w:spacing w:after="120" w:line="300"/>
        <w:ind w:firstLine="709"/>
        <w:jc w:val="both"/>
      </w:pPr>
      <w:r>
        <w:rPr>
          <w:rFonts w:ascii="Arial" w:cs="Arial" w:eastAsia="Arial" w:hAnsi="Arial"/>
          <w:sz w:val="22"/>
          <w:szCs w:val="22"/>
        </w:rPr>
        <w:t xml:space="preserve">Государственное возмещение покрыло лишь две трети фактически оказанных социальных услуг. Оставшаяся треть финансировалась организацией самостоятельно — за счёт средств, не предусмотренных бюджетом ни одного публично-правового образования.</w:t>
      </w:r>
    </w:p>
    <w:p>
      <w:r>
        <w:br w:type="page"/>
      </w:r>
    </w:p>
    <w:p>
      <w:pPr>
        <w:pStyle w:val="Heading1"/>
        <w:spacing w:after="200" w:before="360"/>
      </w:pPr>
      <w:r>
        <w:rPr>
          <w:rFonts w:ascii="Arial" w:cs="Arial" w:eastAsia="Arial" w:hAnsi="Arial"/>
          <w:b/>
          <w:bCs/>
          <w:color w:val="01696F"/>
          <w:sz w:val="32"/>
          <w:szCs w:val="32"/>
        </w:rPr>
        <w:t xml:space="preserve">3. Два показателя себестоимости: «учётный» и «фактический»</w:t>
      </w:r>
    </w:p>
    <w:p>
      <w:pPr>
        <w:spacing w:after="120" w:line="300"/>
        <w:ind w:firstLine="709"/>
        <w:jc w:val="both"/>
      </w:pPr>
      <w:r>
        <w:rPr>
          <w:rFonts w:ascii="Arial" w:cs="Arial" w:eastAsia="Arial" w:hAnsi="Arial"/>
          <w:sz w:val="22"/>
          <w:szCs w:val="22"/>
        </w:rPr>
        <w:t xml:space="preserve">Из приведённого расхождения вытекает два принципиально различных показателя себестоимости одной услуги социального такси.</w:t>
      </w:r>
    </w:p>
    <w:p>
      <w:pPr>
        <w:pStyle w:val="Heading2"/>
        <w:spacing w:after="160" w:before="280"/>
      </w:pPr>
      <w:r>
        <w:rPr>
          <w:rFonts w:ascii="Arial" w:cs="Arial" w:eastAsia="Arial" w:hAnsi="Arial"/>
          <w:b/>
          <w:bCs/>
          <w:color w:val="28251D"/>
          <w:sz w:val="26"/>
          <w:szCs w:val="26"/>
        </w:rPr>
        <w:t xml:space="preserve">3.1. Учётная себестоимость (на все фактически оказанные услуги)</w:t>
      </w:r>
    </w:p>
    <w:p>
      <w:pPr>
        <w:spacing w:after="120" w:line="300"/>
        <w:ind w:firstLine="709"/>
        <w:jc w:val="both"/>
      </w:pPr>
      <w:r>
        <w:rPr>
          <w:rFonts w:ascii="Arial" w:cs="Arial" w:eastAsia="Arial" w:hAnsi="Arial"/>
          <w:sz w:val="22"/>
          <w:szCs w:val="22"/>
        </w:rPr>
        <w:t xml:space="preserve">Это бухгалтерская себестоимость, рассчитанная по правилам учёта: общие фактические расходы делятся на количество фактически оказанных услуг:</w:t>
      </w:r>
    </w:p>
    <w:p>
      <w:pPr>
        <w:spacing w:after="120" w:line="300"/>
        <w:ind w:firstLine="709"/>
        <w:jc w:val="both"/>
      </w:pPr>
      <w:r>
        <w:rPr>
          <w:rFonts w:ascii="Arial" w:cs="Arial" w:eastAsia="Arial" w:hAnsi="Arial"/>
          <w:b/>
          <w:bCs/>
          <w:sz w:val="22"/>
          <w:szCs w:val="22"/>
        </w:rPr>
        <w:t xml:space="preserve">Учётная себестоимость = </w:t>
      </w:r>
      <w:r>
        <w:rPr>
          <w:rFonts w:ascii="Arial" w:cs="Arial" w:eastAsia="Arial" w:hAnsi="Arial"/>
          <w:sz w:val="22"/>
          <w:szCs w:val="22"/>
        </w:rPr>
        <w:t xml:space="preserve">15 269 637,28 / 7 061 = </w:t>
      </w:r>
      <w:r>
        <w:rPr>
          <w:rFonts w:ascii="Arial" w:cs="Arial" w:eastAsia="Arial" w:hAnsi="Arial"/>
          <w:b/>
          <w:bCs/>
          <w:color w:val="01696F"/>
          <w:sz w:val="22"/>
          <w:szCs w:val="22"/>
        </w:rPr>
        <w:t xml:space="preserve">2 162,53 ₽/услуга</w:t>
      </w:r>
    </w:p>
    <w:p>
      <w:pPr>
        <w:spacing w:after="120" w:line="300"/>
        <w:ind w:firstLine="709"/>
        <w:jc w:val="both"/>
      </w:pPr>
      <w:r>
        <w:rPr>
          <w:rFonts w:ascii="Arial" w:cs="Arial" w:eastAsia="Arial" w:hAnsi="Arial"/>
          <w:sz w:val="22"/>
          <w:szCs w:val="22"/>
        </w:rPr>
        <w:t xml:space="preserve">Этот показатель используется в основном тексте Отчёта №1 (раздел 12). Он отвечает на вопрос: "Сколько в среднем стоила одна выполненная поездка для организации?". Этот показатель ниже тарифа 2 300 ₽, но он отражает экономику только в том смысле, что государство как бы условно "обязано" было оплатить все 7 061 услугу — но фактически этого не сделало.</w:t>
      </w:r>
    </w:p>
    <w:p>
      <w:pPr>
        <w:pStyle w:val="Heading2"/>
        <w:spacing w:after="160" w:before="280"/>
      </w:pPr>
      <w:r>
        <w:rPr>
          <w:rFonts w:ascii="Arial" w:cs="Arial" w:eastAsia="Arial" w:hAnsi="Arial"/>
          <w:b/>
          <w:bCs/>
          <w:color w:val="28251D"/>
          <w:sz w:val="26"/>
          <w:szCs w:val="26"/>
        </w:rPr>
        <w:t xml:space="preserve">3.2. Фактическая (расчётная) себестоимость — на оплаченные услуги</w:t>
      </w:r>
    </w:p>
    <w:p>
      <w:pPr>
        <w:spacing w:after="120" w:line="300"/>
        <w:ind w:firstLine="709"/>
        <w:jc w:val="both"/>
      </w:pPr>
      <w:r>
        <w:rPr>
          <w:rFonts w:ascii="Arial" w:cs="Arial" w:eastAsia="Arial" w:hAnsi="Arial"/>
          <w:sz w:val="22"/>
          <w:szCs w:val="22"/>
        </w:rPr>
        <w:t xml:space="preserve">Это экономически реальная себестоимость с точки зрения отношений «поставщик услуги — государство-заказчик». Общие фактические расходы делятся на количество услуг, которые государство согласилось оплатить по тарифу:</w:t>
      </w:r>
    </w:p>
    <w:p>
      <w:pPr>
        <w:spacing w:after="120" w:line="300"/>
        <w:ind w:firstLine="709"/>
        <w:jc w:val="both"/>
      </w:pPr>
      <w:r>
        <w:rPr>
          <w:rFonts w:ascii="Arial" w:cs="Arial" w:eastAsia="Arial" w:hAnsi="Arial"/>
          <w:b/>
          <w:bCs/>
          <w:sz w:val="22"/>
          <w:szCs w:val="22"/>
        </w:rPr>
        <w:t xml:space="preserve">Фактическая себестоимость = </w:t>
      </w:r>
      <w:r>
        <w:rPr>
          <w:rFonts w:ascii="Arial" w:cs="Arial" w:eastAsia="Arial" w:hAnsi="Arial"/>
          <w:sz w:val="22"/>
          <w:szCs w:val="22"/>
        </w:rPr>
        <w:t xml:space="preserve">15 269 637,28 / 4 514 = </w:t>
      </w:r>
      <w:r>
        <w:rPr>
          <w:rFonts w:ascii="Arial" w:cs="Arial" w:eastAsia="Arial" w:hAnsi="Arial"/>
          <w:b/>
          <w:bCs/>
          <w:color w:val="A12C7B"/>
          <w:sz w:val="22"/>
          <w:szCs w:val="22"/>
        </w:rPr>
        <w:t xml:space="preserve">3 382,73 ₽/услуга</w:t>
      </w:r>
    </w:p>
    <w:p>
      <w:pPr>
        <w:spacing w:after="120" w:line="300"/>
        <w:ind w:firstLine="709"/>
        <w:jc w:val="both"/>
      </w:pPr>
      <w:r>
        <w:rPr>
          <w:rFonts w:ascii="Arial" w:cs="Arial" w:eastAsia="Arial" w:hAnsi="Arial"/>
          <w:sz w:val="22"/>
          <w:szCs w:val="22"/>
        </w:rPr>
        <w:t xml:space="preserve">Именно этот показатель отвечает на вопрос: "Сколько реально стоила государству каждая оплаченная им услуга?". И эта цифра — 3 382,73 ₽ — на 1 082,73 ₽ (47%) превышает тариф 2 300 ₽.</w:t>
      </w:r>
    </w:p>
    <w:p>
      <w:pPr>
        <w:pStyle w:val="Heading2"/>
        <w:spacing w:after="160" w:before="280"/>
      </w:pPr>
      <w:r>
        <w:rPr>
          <w:rFonts w:ascii="Arial" w:cs="Arial" w:eastAsia="Arial" w:hAnsi="Arial"/>
          <w:b/>
          <w:bCs/>
          <w:color w:val="28251D"/>
          <w:sz w:val="26"/>
          <w:szCs w:val="26"/>
        </w:rPr>
        <w:t xml:space="preserve">3.3. Сводное сравнение двух показателей</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700"/>
      </w:tblGrid>
      <w:tr>
        <w:trPr>
          <w:cantSplit/>
        </w:trPr>
        <w:tc>
          <w:tcPr>
            <w:tcW w:type="dxa" w:w="45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Показатель</w:t>
            </w:r>
          </w:p>
        </w:tc>
        <w:tc>
          <w:tcPr>
            <w:tcW w:type="dxa" w:w="27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Учётная себестоимость</w:t>
            </w:r>
          </w:p>
        </w:tc>
        <w:tc>
          <w:tcPr>
            <w:tcW w:type="dxa" w:w="27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Фактическая (расчётная)</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Знаменатель (число услуг)</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7 061 (все оказанные)</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4 514 (оплаченные)</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bCs/>
                <w:sz w:val="20"/>
                <w:szCs w:val="20"/>
              </w:rPr>
              <w:t xml:space="preserve">Себестоимость 1 услуги, ₽</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bCs/>
                <w:color w:val="01696F"/>
                <w:sz w:val="20"/>
                <w:szCs w:val="20"/>
              </w:rPr>
              <w:t xml:space="preserve">2 162,53</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bCs/>
                <w:color w:val="A12C7B"/>
                <w:sz w:val="20"/>
                <w:szCs w:val="20"/>
              </w:rPr>
              <w:t xml:space="preserve">3 382,73</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Тариф 2024, ₽</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2 300,00</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sz w:val="20"/>
                <w:szCs w:val="20"/>
              </w:rPr>
              <w:t xml:space="preserve">2 300,00</w:t>
            </w:r>
          </w:p>
        </w:tc>
      </w:tr>
      <w:tr>
        <w:trPr>
          <w:cantSplit/>
        </w:trPr>
        <w:tc>
          <w:tcPr>
            <w:tcW w:type="dxa" w:w="4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Разница «тариф − себестоимость», ₽</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color w:val="437A22"/>
                <w:sz w:val="20"/>
                <w:szCs w:val="20"/>
              </w:rPr>
              <w:t xml:space="preserve">+137,47</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bCs/>
                <w:color w:val="A12C7B"/>
                <w:sz w:val="20"/>
                <w:szCs w:val="20"/>
              </w:rPr>
              <w:t xml:space="preserve">−1 082,73</w:t>
            </w:r>
          </w:p>
        </w:tc>
      </w:tr>
      <w:tr>
        <w:trPr>
          <w:cantSplit/>
        </w:trPr>
        <w:tc>
          <w:tcPr>
            <w:tcW w:type="dxa" w:w="45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Финансовый результат за год, ₽</w:t>
            </w:r>
          </w:p>
        </w:tc>
        <w:tc>
          <w:tcPr>
            <w:tcW w:type="dxa" w:w="27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center"/>
            </w:pPr>
            <w:r>
              <w:rPr>
                <w:rFonts w:ascii="Arial" w:cs="Arial" w:eastAsia="Arial" w:hAnsi="Arial"/>
                <w:sz w:val="20"/>
                <w:szCs w:val="20"/>
              </w:rPr>
              <w:t xml:space="preserve">+970 590 (расчётная маржа на 7 061 услугу × 137,47)</w:t>
            </w:r>
          </w:p>
        </w:tc>
        <w:tc>
          <w:tcPr>
            <w:tcW w:type="dxa" w:w="27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center"/>
            </w:pPr>
            <w:r>
              <w:rPr>
                <w:rFonts w:ascii="Arial" w:cs="Arial" w:eastAsia="Arial" w:hAnsi="Arial"/>
                <w:b/>
                <w:bCs/>
                <w:color w:val="A12C7B"/>
                <w:sz w:val="20"/>
                <w:szCs w:val="20"/>
              </w:rPr>
              <w:t xml:space="preserve">−4 887 437,28 (фактический убыток)</w:t>
            </w:r>
          </w:p>
        </w:tc>
      </w:tr>
    </w:tbl>
    <w:p>
      <w:pPr>
        <w:spacing w:before="200"/>
      </w:pPr>
    </w:p>
    <w:p>
      <w:pPr>
        <w:spacing w:after="120" w:line="300"/>
        <w:ind w:firstLine="709"/>
        <w:jc w:val="both"/>
      </w:pPr>
      <w:r>
        <w:rPr>
          <w:rFonts w:ascii="Arial" w:cs="Arial" w:eastAsia="Arial" w:hAnsi="Arial"/>
          <w:sz w:val="22"/>
          <w:szCs w:val="22"/>
        </w:rPr>
        <w:t xml:space="preserve">Учётный показатель 2 162,53 ₽ создаёт ложное впечатление о рентабельной деятельности, тогда как фактический показатель 3 382,73 ₽ объективно отражает реальную экономическую нагрузку на организацию.</w:t>
      </w:r>
    </w:p>
    <w:p>
      <w:r>
        <w:br w:type="page"/>
      </w:r>
    </w:p>
    <w:p>
      <w:pPr>
        <w:pStyle w:val="Heading1"/>
        <w:spacing w:after="200" w:before="360"/>
      </w:pPr>
      <w:r>
        <w:rPr>
          <w:rFonts w:ascii="Arial" w:cs="Arial" w:eastAsia="Arial" w:hAnsi="Arial"/>
          <w:b/>
          <w:bCs/>
          <w:color w:val="01696F"/>
          <w:sz w:val="32"/>
          <w:szCs w:val="32"/>
        </w:rPr>
        <w:t xml:space="preserve">4. Убыток как недополученное государственное возмещение</w:t>
      </w:r>
    </w:p>
    <w:p>
      <w:pPr>
        <w:spacing w:after="120" w:line="300"/>
        <w:ind w:firstLine="709"/>
        <w:jc w:val="both"/>
      </w:pPr>
      <w:r>
        <w:rPr>
          <w:rFonts w:ascii="Arial" w:cs="Arial" w:eastAsia="Arial" w:hAnsi="Arial"/>
          <w:sz w:val="22"/>
          <w:szCs w:val="22"/>
        </w:rPr>
        <w:t xml:space="preserve">Убыток организации от деятельности по социальному такси в 2024 году (4 887 437,28 ₽) экономически представляет собой объём недополученного государственного возмещения. Это подтверждается двумя независимыми расчётами.</w:t>
      </w:r>
    </w:p>
    <w:p>
      <w:pPr>
        <w:pStyle w:val="Heading2"/>
        <w:spacing w:after="160" w:before="280"/>
      </w:pPr>
      <w:r>
        <w:rPr>
          <w:rFonts w:ascii="Arial" w:cs="Arial" w:eastAsia="Arial" w:hAnsi="Arial"/>
          <w:b/>
          <w:bCs/>
          <w:color w:val="28251D"/>
          <w:sz w:val="26"/>
          <w:szCs w:val="26"/>
        </w:rPr>
        <w:t xml:space="preserve">4.1. Расчёт через число неоплаченных услуг</w:t>
      </w:r>
    </w:p>
    <w:p>
      <w:pPr>
        <w:spacing w:after="120" w:line="300"/>
        <w:ind w:firstLine="709"/>
        <w:jc w:val="both"/>
      </w:pPr>
      <w:r>
        <w:rPr>
          <w:rFonts w:ascii="Arial" w:cs="Arial" w:eastAsia="Arial" w:hAnsi="Arial"/>
          <w:b/>
          <w:bCs/>
          <w:sz w:val="22"/>
          <w:szCs w:val="22"/>
        </w:rPr>
        <w:t xml:space="preserve">Услуги, оказанные без возмещения: </w:t>
      </w:r>
      <w:r>
        <w:rPr>
          <w:rFonts w:ascii="Arial" w:cs="Arial" w:eastAsia="Arial" w:hAnsi="Arial"/>
          <w:sz w:val="22"/>
          <w:szCs w:val="22"/>
        </w:rPr>
        <w:t xml:space="preserve">2 547 поездок</w:t>
      </w:r>
    </w:p>
    <w:p>
      <w:pPr>
        <w:spacing w:after="120" w:line="300"/>
        <w:ind w:firstLine="709"/>
        <w:jc w:val="both"/>
      </w:pPr>
      <w:r>
        <w:rPr>
          <w:rFonts w:ascii="Arial" w:cs="Arial" w:eastAsia="Arial" w:hAnsi="Arial"/>
          <w:b/>
          <w:bCs/>
          <w:sz w:val="22"/>
          <w:szCs w:val="22"/>
        </w:rPr>
        <w:t xml:space="preserve">Тариф 2024 года: </w:t>
      </w:r>
      <w:r>
        <w:rPr>
          <w:rFonts w:ascii="Arial" w:cs="Arial" w:eastAsia="Arial" w:hAnsi="Arial"/>
          <w:sz w:val="22"/>
          <w:szCs w:val="22"/>
        </w:rPr>
        <w:t xml:space="preserve">2 300 ₽/услуга</w:t>
      </w:r>
    </w:p>
    <w:p>
      <w:pPr>
        <w:spacing w:after="120" w:line="300"/>
        <w:ind w:firstLine="709"/>
        <w:jc w:val="both"/>
      </w:pPr>
      <w:r>
        <w:rPr>
          <w:rFonts w:ascii="Arial" w:cs="Arial" w:eastAsia="Arial" w:hAnsi="Arial"/>
          <w:b/>
          <w:bCs/>
          <w:sz w:val="22"/>
          <w:szCs w:val="22"/>
        </w:rPr>
        <w:t xml:space="preserve">Недополучено возмещения по тарифу: </w:t>
      </w:r>
      <w:r>
        <w:rPr>
          <w:rFonts w:ascii="Arial" w:cs="Arial" w:eastAsia="Arial" w:hAnsi="Arial"/>
          <w:sz w:val="22"/>
          <w:szCs w:val="22"/>
        </w:rPr>
        <w:t xml:space="preserve">2 547 × 2 300 = </w:t>
      </w:r>
      <w:r>
        <w:rPr>
          <w:rFonts w:ascii="Arial" w:cs="Arial" w:eastAsia="Arial" w:hAnsi="Arial"/>
          <w:b/>
          <w:bCs/>
          <w:color w:val="A12C7B"/>
          <w:sz w:val="22"/>
          <w:szCs w:val="22"/>
        </w:rPr>
        <w:t xml:space="preserve">5 858 100 ₽</w:t>
      </w:r>
    </w:p>
    <w:p>
      <w:pPr>
        <w:pStyle w:val="Heading2"/>
        <w:spacing w:after="160" w:before="280"/>
      </w:pPr>
      <w:r>
        <w:rPr>
          <w:rFonts w:ascii="Arial" w:cs="Arial" w:eastAsia="Arial" w:hAnsi="Arial"/>
          <w:b/>
          <w:bCs/>
          <w:color w:val="28251D"/>
          <w:sz w:val="26"/>
          <w:szCs w:val="26"/>
        </w:rPr>
        <w:t xml:space="preserve">4.2. Расчёт через разрыв «себестоимость − тариф»</w:t>
      </w:r>
    </w:p>
    <w:p>
      <w:pPr>
        <w:spacing w:after="120" w:line="300"/>
        <w:ind w:firstLine="709"/>
        <w:jc w:val="both"/>
      </w:pPr>
      <w:r>
        <w:rPr>
          <w:rFonts w:ascii="Arial" w:cs="Arial" w:eastAsia="Arial" w:hAnsi="Arial"/>
          <w:b/>
          <w:bCs/>
          <w:sz w:val="22"/>
          <w:szCs w:val="22"/>
        </w:rPr>
        <w:t xml:space="preserve">Полная фактическая себестоимость 1 услуги: </w:t>
      </w:r>
      <w:r>
        <w:rPr>
          <w:rFonts w:ascii="Arial" w:cs="Arial" w:eastAsia="Arial" w:hAnsi="Arial"/>
          <w:sz w:val="22"/>
          <w:szCs w:val="22"/>
        </w:rPr>
        <w:t xml:space="preserve">3 382,73 ₽</w:t>
      </w:r>
    </w:p>
    <w:p>
      <w:pPr>
        <w:spacing w:after="120" w:line="300"/>
        <w:ind w:firstLine="709"/>
        <w:jc w:val="both"/>
      </w:pPr>
      <w:r>
        <w:rPr>
          <w:rFonts w:ascii="Arial" w:cs="Arial" w:eastAsia="Arial" w:hAnsi="Arial"/>
          <w:b/>
          <w:bCs/>
          <w:sz w:val="22"/>
          <w:szCs w:val="22"/>
        </w:rPr>
        <w:t xml:space="preserve">Установленный тариф: </w:t>
      </w:r>
      <w:r>
        <w:rPr>
          <w:rFonts w:ascii="Arial" w:cs="Arial" w:eastAsia="Arial" w:hAnsi="Arial"/>
          <w:sz w:val="22"/>
          <w:szCs w:val="22"/>
        </w:rPr>
        <w:t xml:space="preserve">2 300 ₽</w:t>
      </w:r>
    </w:p>
    <w:p>
      <w:pPr>
        <w:spacing w:after="120" w:line="300"/>
        <w:ind w:firstLine="709"/>
        <w:jc w:val="both"/>
      </w:pPr>
      <w:r>
        <w:rPr>
          <w:rFonts w:ascii="Arial" w:cs="Arial" w:eastAsia="Arial" w:hAnsi="Arial"/>
          <w:b/>
          <w:bCs/>
          <w:sz w:val="22"/>
          <w:szCs w:val="22"/>
        </w:rPr>
        <w:t xml:space="preserve">Недополучено возмещения на каждую оплаченную услугу: </w:t>
      </w:r>
      <w:r>
        <w:rPr>
          <w:rFonts w:ascii="Arial" w:cs="Arial" w:eastAsia="Arial" w:hAnsi="Arial"/>
          <w:sz w:val="22"/>
          <w:szCs w:val="22"/>
        </w:rPr>
        <w:t xml:space="preserve">3 382,73 − 2 300 = 1 082,73 ₽</w:t>
      </w:r>
    </w:p>
    <w:p>
      <w:pPr>
        <w:spacing w:after="120" w:line="300"/>
        <w:ind w:firstLine="709"/>
        <w:jc w:val="both"/>
      </w:pPr>
      <w:r>
        <w:rPr>
          <w:rFonts w:ascii="Arial" w:cs="Arial" w:eastAsia="Arial" w:hAnsi="Arial"/>
          <w:b/>
          <w:bCs/>
          <w:sz w:val="22"/>
          <w:szCs w:val="22"/>
        </w:rPr>
        <w:t xml:space="preserve">Всего по 4 514 оплаченным услугам: </w:t>
      </w:r>
      <w:r>
        <w:rPr>
          <w:rFonts w:ascii="Arial" w:cs="Arial" w:eastAsia="Arial" w:hAnsi="Arial"/>
          <w:sz w:val="22"/>
          <w:szCs w:val="22"/>
        </w:rPr>
        <w:t xml:space="preserve">4 514 × 1 082,73 = </w:t>
      </w:r>
      <w:r>
        <w:rPr>
          <w:rFonts w:ascii="Arial" w:cs="Arial" w:eastAsia="Arial" w:hAnsi="Arial"/>
          <w:b/>
          <w:bCs/>
          <w:color w:val="A12C7B"/>
          <w:sz w:val="22"/>
          <w:szCs w:val="22"/>
        </w:rPr>
        <w:t xml:space="preserve">4 887 437,22 ₽</w:t>
      </w:r>
    </w:p>
    <w:p>
      <w:pPr>
        <w:spacing w:after="120" w:line="300"/>
        <w:ind w:firstLine="709"/>
        <w:jc w:val="both"/>
      </w:pPr>
      <w:r>
        <w:rPr>
          <w:rFonts w:ascii="Arial" w:cs="Arial" w:eastAsia="Arial" w:hAnsi="Arial"/>
          <w:sz w:val="22"/>
          <w:szCs w:val="22"/>
        </w:rPr>
        <w:t xml:space="preserve">Этот расчёт точно совпадает с величиной фактического убытка организации (4 887 437,28 ₽ — разница в копейках обусловлена округлением). Это математическое доказательство того, что весь убыток организации представляет собой исключительно недополученное государственное возмещение по утверждённым нормативам.</w:t>
      </w:r>
    </w:p>
    <w:p>
      <w:r>
        <w:br w:type="page"/>
      </w:r>
    </w:p>
    <w:p>
      <w:pPr>
        <w:pStyle w:val="Heading1"/>
        <w:spacing w:after="200" w:before="360"/>
      </w:pPr>
      <w:r>
        <w:rPr>
          <w:rFonts w:ascii="Arial" w:cs="Arial" w:eastAsia="Arial" w:hAnsi="Arial"/>
          <w:b/>
          <w:bCs/>
          <w:color w:val="01696F"/>
          <w:sz w:val="32"/>
          <w:szCs w:val="32"/>
        </w:rPr>
        <w:t xml:space="preserve">5. Полная экономическая себестоимость с учётом убытка</w:t>
      </w:r>
    </w:p>
    <w:p>
      <w:pPr>
        <w:spacing w:after="120" w:line="300"/>
        <w:ind w:firstLine="709"/>
        <w:jc w:val="both"/>
      </w:pPr>
      <w:r>
        <w:rPr>
          <w:rFonts w:ascii="Arial" w:cs="Arial" w:eastAsia="Arial" w:hAnsi="Arial"/>
          <w:sz w:val="22"/>
          <w:szCs w:val="22"/>
        </w:rPr>
        <w:t xml:space="preserve">Согласно статье 30 Федерального закона от 28.12.2013 № 442-ФЗ "Об основах социального обслуживания граждан в Российской Федерации" государство гарантирует поставщикам социальных услуг возмещение расходов на оказание этих услуг по утверждённым тарифам. Это означает, что при экономически обоснованном тарифе организация-поставщик должна иметь возможность покрыть все понесённые затраты, а тариф должен быть установлен на уровне фактической себестоимости услуги (как минимум).</w:t>
      </w:r>
    </w:p>
    <w:p>
      <w:pPr>
        <w:spacing w:after="120" w:line="300"/>
        <w:ind w:firstLine="709"/>
        <w:jc w:val="both"/>
      </w:pPr>
      <w:r>
        <w:rPr>
          <w:rFonts w:ascii="Arial" w:cs="Arial" w:eastAsia="Arial" w:hAnsi="Arial"/>
          <w:sz w:val="22"/>
          <w:szCs w:val="22"/>
        </w:rPr>
        <w:t xml:space="preserve">При корректном применении нормы 442-ФЗ убыток организации от деятельности по социальному такси не должен возникать в принципе. Сам факт его наличия свидетельствует о том, что тариф установлен ниже экономически обоснованного уровня. Следовательно, для определения подлинно экономически обоснованного тарифа на 2024 год следует включить убыток в состав расходов на оказание услуг — то есть выполнить расчёт полной экономической себестоимости.</w:t>
      </w:r>
    </w:p>
    <w:p>
      <w:pPr>
        <w:pStyle w:val="Heading2"/>
        <w:spacing w:after="160" w:before="280"/>
      </w:pPr>
      <w:r>
        <w:rPr>
          <w:rFonts w:ascii="Arial" w:cs="Arial" w:eastAsia="Arial" w:hAnsi="Arial"/>
          <w:b/>
          <w:bCs/>
          <w:color w:val="28251D"/>
          <w:sz w:val="26"/>
          <w:szCs w:val="26"/>
        </w:rPr>
        <w:t xml:space="preserve">5.1. Расчёт полной экономической себестоимости 1 услуги</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0"/>
        <w:gridCol w:w="3900"/>
      </w:tblGrid>
      <w:tr>
        <w:trPr>
          <w:cantSplit/>
        </w:trPr>
        <w:tc>
          <w:tcPr>
            <w:tcW w:type="dxa" w:w="60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Показатель</w:t>
            </w:r>
          </w:p>
        </w:tc>
        <w:tc>
          <w:tcPr>
            <w:tcW w:type="dxa" w:w="39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Сумма, ₽</w:t>
            </w:r>
          </w:p>
        </w:tc>
      </w:tr>
      <w:tr>
        <w:trPr>
          <w:cantSplit/>
        </w:trPr>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Фактические расходы на соцтакси (Отчёт №1, разд. 10)</w:t>
            </w:r>
          </w:p>
        </w:tc>
        <w:tc>
          <w:tcPr>
            <w:tcW w:type="dxa" w:w="3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15 269 637,28</w:t>
            </w:r>
          </w:p>
        </w:tc>
      </w:tr>
      <w:tr>
        <w:trPr>
          <w:cantSplit/>
        </w:trPr>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Убыток от деятельности по соцтакси за 2024 год</w:t>
            </w:r>
          </w:p>
        </w:tc>
        <w:tc>
          <w:tcPr>
            <w:tcW w:type="dxa" w:w="3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color w:val="A12C7B"/>
                <w:sz w:val="20"/>
                <w:szCs w:val="20"/>
              </w:rPr>
              <w:t xml:space="preserve">4 887 437,28</w:t>
            </w:r>
          </w:p>
        </w:tc>
      </w:tr>
      <w:tr>
        <w:trPr>
          <w:cantSplit/>
        </w:trPr>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bCs/>
                <w:sz w:val="20"/>
                <w:szCs w:val="20"/>
              </w:rPr>
              <w:t xml:space="preserve">ИТОГО: полная экономическая стоимость деятельности</w:t>
            </w:r>
          </w:p>
        </w:tc>
        <w:tc>
          <w:tcPr>
            <w:tcW w:type="dxa" w:w="3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sz w:val="20"/>
                <w:szCs w:val="20"/>
              </w:rPr>
              <w:t xml:space="preserve">15 269 637,28</w:t>
            </w:r>
          </w:p>
        </w:tc>
      </w:tr>
      <w:tr>
        <w:trPr>
          <w:cantSplit/>
        </w:trPr>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Прим.: убыток уже включён в фактические расходы — отдельно не суммируется</w:t>
            </w:r>
          </w:p>
        </w:tc>
        <w:tc>
          <w:tcPr>
            <w:tcW w:type="dxa" w:w="39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w:t>
            </w:r>
          </w:p>
        </w:tc>
      </w:tr>
    </w:tbl>
    <w:p>
      <w:pPr>
        <w:spacing w:before="200"/>
      </w:pPr>
    </w:p>
    <w:p>
      <w:pPr>
        <w:spacing w:after="120" w:line="300"/>
        <w:ind w:firstLine="709"/>
        <w:jc w:val="both"/>
      </w:pPr>
      <w:r>
        <w:rPr>
          <w:rFonts w:ascii="Arial" w:cs="Arial" w:eastAsia="Arial" w:hAnsi="Arial"/>
          <w:sz w:val="22"/>
          <w:szCs w:val="22"/>
        </w:rPr>
        <w:t xml:space="preserve">Поскольку убыток математически уже содержится в фактических расходах (расходы превышают доходы именно на величину убытка), для определения экономически обоснованного тарифа достаточно разделить полные фактические расходы на число оплаченных услуг:</w:t>
      </w:r>
    </w:p>
    <w:p>
      <w:pPr>
        <w:spacing w:after="120" w:line="300"/>
        <w:ind w:firstLine="709"/>
        <w:jc w:val="both"/>
      </w:pPr>
      <w:r>
        <w:rPr>
          <w:rFonts w:ascii="Arial" w:cs="Arial" w:eastAsia="Arial" w:hAnsi="Arial"/>
          <w:b/>
          <w:bCs/>
          <w:sz w:val="22"/>
          <w:szCs w:val="22"/>
        </w:rPr>
        <w:t xml:space="preserve">Экономически обоснованный тариф 2024 = </w:t>
      </w:r>
      <w:r>
        <w:rPr>
          <w:rFonts w:ascii="Arial" w:cs="Arial" w:eastAsia="Arial" w:hAnsi="Arial"/>
          <w:sz w:val="22"/>
          <w:szCs w:val="22"/>
        </w:rPr>
        <w:t xml:space="preserve">15 269 637,28 / 4 514 = </w:t>
      </w:r>
      <w:r>
        <w:rPr>
          <w:rFonts w:ascii="Arial" w:cs="Arial" w:eastAsia="Arial" w:hAnsi="Arial"/>
          <w:b/>
          <w:bCs/>
          <w:color w:val="01696F"/>
          <w:sz w:val="26"/>
          <w:szCs w:val="26"/>
        </w:rPr>
        <w:t xml:space="preserve">3 382,73 ₽/услуга</w:t>
      </w:r>
    </w:p>
    <w:p>
      <w:pPr>
        <w:spacing w:after="120" w:line="300"/>
        <w:ind w:firstLine="709"/>
        <w:jc w:val="both"/>
      </w:pPr>
      <w:r>
        <w:rPr>
          <w:rFonts w:ascii="Arial" w:cs="Arial" w:eastAsia="Arial" w:hAnsi="Arial"/>
          <w:sz w:val="22"/>
          <w:szCs w:val="22"/>
        </w:rPr>
        <w:t xml:space="preserve">Эта цифра — 3 382,73 ₽ — представляет собой минимальный тариф, который должен был бы быть установлен в 2024 году, чтобы покрыть все фактические расходы организации на оказание услуг социального такси и обеспечить отсутствие убытка.</w:t>
      </w:r>
    </w:p>
    <w:p>
      <w:pPr>
        <w:pStyle w:val="Heading2"/>
        <w:spacing w:after="160" w:before="280"/>
      </w:pPr>
      <w:r>
        <w:rPr>
          <w:rFonts w:ascii="Arial" w:cs="Arial" w:eastAsia="Arial" w:hAnsi="Arial"/>
          <w:b/>
          <w:bCs/>
          <w:color w:val="28251D"/>
          <w:sz w:val="26"/>
          <w:szCs w:val="26"/>
        </w:rPr>
        <w:t xml:space="preserve">5.2. Сравнение тарифов: установленного, расчётного и фактически необходимого</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700"/>
      </w:tblGrid>
      <w:tr>
        <w:trPr>
          <w:cantSplit/>
        </w:trPr>
        <w:tc>
          <w:tcPr>
            <w:tcW w:type="dxa" w:w="50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Тариф</w:t>
            </w:r>
          </w:p>
        </w:tc>
        <w:tc>
          <w:tcPr>
            <w:tcW w:type="dxa" w:w="22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Сумма, ₽</w:t>
            </w:r>
          </w:p>
        </w:tc>
        <w:tc>
          <w:tcPr>
            <w:tcW w:type="dxa" w:w="2700"/>
            <w:tcBorders>
              <w:top w:val="single" w:color="808080" w:sz="4"/>
              <w:left w:val="single" w:color="808080" w:sz="4"/>
              <w:bottom w:val="single" w:color="808080" w:sz="4"/>
              <w:right w:val="single" w:color="808080" w:sz="4"/>
            </w:tcBorders>
            <w:shd w:fill="E0EDED" w:val="clear"/>
            <w:tcMar>
              <w:top w:type="dxa" w:w="80"/>
              <w:left w:type="dxa" w:w="100"/>
              <w:bottom w:type="dxa" w:w="80"/>
              <w:right w:type="dxa" w:w="100"/>
            </w:tcMar>
            <w:vAlign w:val="center"/>
          </w:tcPr>
          <w:p>
            <w:pPr>
              <w:jc w:val="right"/>
            </w:pPr>
            <w:r>
              <w:rPr>
                <w:rFonts w:ascii="Arial" w:cs="Arial" w:eastAsia="Arial" w:hAnsi="Arial"/>
                <w:b/>
                <w:bCs/>
                <w:sz w:val="20"/>
                <w:szCs w:val="20"/>
              </w:rPr>
              <w:t xml:space="preserve">Отклонение</w:t>
            </w:r>
          </w:p>
        </w:tc>
      </w:tr>
      <w:tr>
        <w:trPr>
          <w:cantSplit/>
        </w:trPr>
        <w:tc>
          <w:tcPr>
            <w:tcW w:type="dxa" w:w="5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Установленный тариф 2024 (приказ ДСЗН ЯНАО)</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2 300,00</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Базовое значение</w:t>
            </w:r>
          </w:p>
        </w:tc>
      </w:tr>
      <w:tr>
        <w:trPr>
          <w:cantSplit/>
        </w:trPr>
        <w:tc>
          <w:tcPr>
            <w:tcW w:type="dxa" w:w="5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Учётная себестоимость (на все оказанные услуги)</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2 162,53</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color w:val="437A22"/>
                <w:sz w:val="20"/>
                <w:szCs w:val="20"/>
              </w:rPr>
              <w:t xml:space="preserve">−5,98% от тарифа</w:t>
            </w:r>
          </w:p>
        </w:tc>
      </w:tr>
      <w:tr>
        <w:trPr>
          <w:cantSplit/>
        </w:trPr>
        <w:tc>
          <w:tcPr>
            <w:tcW w:type="dxa" w:w="50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left"/>
            </w:pPr>
            <w:r>
              <w:rPr>
                <w:rFonts w:ascii="Arial" w:cs="Arial" w:eastAsia="Arial" w:hAnsi="Arial"/>
                <w:b/>
                <w:bCs/>
                <w:sz w:val="20"/>
                <w:szCs w:val="20"/>
              </w:rPr>
              <w:t xml:space="preserve">Полная (экономически обоснованная) себестоимость</w:t>
            </w:r>
          </w:p>
        </w:tc>
        <w:tc>
          <w:tcPr>
            <w:tcW w:type="dxa" w:w="22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right"/>
            </w:pPr>
            <w:r>
              <w:rPr>
                <w:rFonts w:ascii="Arial" w:cs="Arial" w:eastAsia="Arial" w:hAnsi="Arial"/>
                <w:b/>
                <w:bCs/>
                <w:color w:val="A12C7B"/>
                <w:sz w:val="20"/>
                <w:szCs w:val="20"/>
              </w:rPr>
              <w:t xml:space="preserve">3 382,73</w:t>
            </w:r>
          </w:p>
        </w:tc>
        <w:tc>
          <w:tcPr>
            <w:tcW w:type="dxa" w:w="2700"/>
            <w:tcBorders>
              <w:top w:val="single" w:color="808080" w:sz="4"/>
              <w:left w:val="single" w:color="808080" w:sz="4"/>
              <w:bottom w:val="single" w:color="808080" w:sz="4"/>
              <w:right w:val="single" w:color="808080" w:sz="4"/>
            </w:tcBorders>
            <w:shd w:fill="FFE699" w:val="clear"/>
            <w:tcMar>
              <w:top w:type="dxa" w:w="80"/>
              <w:left w:type="dxa" w:w="100"/>
              <w:bottom w:type="dxa" w:w="80"/>
              <w:right w:type="dxa" w:w="100"/>
            </w:tcMar>
            <w:vAlign w:val="center"/>
          </w:tcPr>
          <w:p>
            <w:pPr>
              <w:jc w:val="right"/>
            </w:pPr>
            <w:r>
              <w:rPr>
                <w:rFonts w:ascii="Arial" w:cs="Arial" w:eastAsia="Arial" w:hAnsi="Arial"/>
                <w:b/>
                <w:bCs/>
                <w:color w:val="A12C7B"/>
                <w:sz w:val="20"/>
                <w:szCs w:val="20"/>
              </w:rPr>
              <w:t xml:space="preserve">+47,1% от тарифа</w:t>
            </w:r>
          </w:p>
        </w:tc>
      </w:tr>
      <w:tr>
        <w:trPr>
          <w:cantSplit/>
        </w:trPr>
        <w:tc>
          <w:tcPr>
            <w:tcW w:type="dxa" w:w="5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sz w:val="20"/>
                <w:szCs w:val="20"/>
              </w:rPr>
              <w:t xml:space="preserve">Новый тариф 2025 (приказ 202-ОД)</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sz w:val="20"/>
                <w:szCs w:val="20"/>
              </w:rPr>
              <w:t xml:space="preserve">884,40</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right"/>
            </w:pPr>
            <w:r>
              <w:rPr>
                <w:rFonts w:ascii="Arial" w:cs="Arial" w:eastAsia="Arial" w:hAnsi="Arial"/>
                <w:b/>
                <w:bCs/>
                <w:color w:val="A12C7B"/>
                <w:sz w:val="20"/>
                <w:szCs w:val="20"/>
              </w:rPr>
              <w:t xml:space="preserve">−61,5% к 2024 г.</w:t>
            </w:r>
          </w:p>
        </w:tc>
      </w:tr>
    </w:tbl>
    <w:p>
      <w:pPr>
        <w:spacing w:before="200"/>
      </w:pPr>
    </w:p>
    <w:p>
      <w:pPr>
        <w:spacing w:after="120" w:line="300"/>
        <w:ind w:firstLine="709"/>
        <w:jc w:val="both"/>
      </w:pPr>
      <w:r>
        <w:rPr>
          <w:rFonts w:ascii="Arial" w:cs="Arial" w:eastAsia="Arial" w:hAnsi="Arial"/>
          <w:sz w:val="22"/>
          <w:szCs w:val="22"/>
        </w:rPr>
        <w:t xml:space="preserve">Из приведённой таблицы наглядно видно, что даже установленный в 2024 году тариф 2 300 ₽ не покрывал реальной себестоимости услуги (требовалось 3 382,73 ₽). Снижение тарифа в 2025 году до 884,40 ₽ — то есть до уровня менее 27% от экономически обоснованной себестоимости — делает дальнейшее оказание услуг социального такси с соблюдением требований законодательства экономически невозможным.</w:t>
      </w:r>
    </w:p>
    <w:p>
      <w:r>
        <w:br w:type="page"/>
      </w:r>
    </w:p>
    <w:p>
      <w:pPr>
        <w:pStyle w:val="Heading1"/>
        <w:spacing w:after="200" w:before="360"/>
      </w:pPr>
      <w:r>
        <w:rPr>
          <w:rFonts w:ascii="Arial" w:cs="Arial" w:eastAsia="Arial" w:hAnsi="Arial"/>
          <w:b/>
          <w:bCs/>
          <w:color w:val="01696F"/>
          <w:sz w:val="32"/>
          <w:szCs w:val="32"/>
        </w:rPr>
        <w:t xml:space="preserve">6. Экономические и правовые выводы</w:t>
      </w:r>
    </w:p>
    <w:p>
      <w:pPr>
        <w:spacing w:after="120" w:line="300"/>
        <w:ind w:firstLine="709"/>
        <w:jc w:val="both"/>
      </w:pPr>
      <w:r>
        <w:rPr>
          <w:rFonts w:ascii="Arial" w:cs="Arial" w:eastAsia="Arial" w:hAnsi="Arial"/>
          <w:sz w:val="22"/>
          <w:szCs w:val="22"/>
        </w:rPr>
        <w:t xml:space="preserve">На основании выполненного анализа можно сформулировать следующие выводы.</w:t>
      </w:r>
    </w:p>
    <w:p>
      <w:pPr>
        <w:pStyle w:val="Heading2"/>
        <w:spacing w:after="160" w:before="280"/>
      </w:pPr>
      <w:r>
        <w:rPr>
          <w:rFonts w:ascii="Arial" w:cs="Arial" w:eastAsia="Arial" w:hAnsi="Arial"/>
          <w:b/>
          <w:bCs/>
          <w:color w:val="28251D"/>
          <w:sz w:val="26"/>
          <w:szCs w:val="26"/>
        </w:rPr>
        <w:t xml:space="preserve">6.1. Природа убытка</w:t>
      </w:r>
    </w:p>
    <w:p>
      <w:pPr>
        <w:pStyle w:val="ListParagraph"/>
        <w:numPr>
          <w:ilvl w:val="0"/>
          <w:numId w:val="2"/>
        </w:numPr>
        <w:spacing w:after="80"/>
      </w:pPr>
      <w:r>
        <w:rPr>
          <w:rFonts w:ascii="Arial" w:cs="Arial" w:eastAsia="Arial" w:hAnsi="Arial"/>
          <w:sz w:val="22"/>
          <w:szCs w:val="22"/>
        </w:rPr>
        <w:t xml:space="preserve">Учётная себестоимость 2 162,53 ₽ при тарифе 2 300 ₽ не отражает реальной экономики деятельности, поскольку рассчитана на все фактически оказанные услуги (7 061), включая те 2 547 услуг, которые государство не оплатило.</w:t>
      </w:r>
    </w:p>
    <w:p>
      <w:pPr>
        <w:pStyle w:val="ListParagraph"/>
        <w:numPr>
          <w:ilvl w:val="0"/>
          <w:numId w:val="2"/>
        </w:numPr>
        <w:spacing w:after="80"/>
      </w:pPr>
      <w:r>
        <w:rPr>
          <w:rFonts w:ascii="Arial" w:cs="Arial" w:eastAsia="Arial" w:hAnsi="Arial"/>
          <w:sz w:val="22"/>
          <w:szCs w:val="22"/>
        </w:rPr>
        <w:t xml:space="preserve">Реальная (фактическая) себестоимость одной услуги в 2024 году составила 3 382,73 ₽ — то есть на 47,1% выше установленного тарифа.</w:t>
      </w:r>
    </w:p>
    <w:p>
      <w:pPr>
        <w:pStyle w:val="ListParagraph"/>
        <w:numPr>
          <w:ilvl w:val="0"/>
          <w:numId w:val="2"/>
        </w:numPr>
        <w:spacing w:after="80"/>
      </w:pPr>
      <w:r>
        <w:rPr>
          <w:rFonts w:ascii="Arial" w:cs="Arial" w:eastAsia="Arial" w:hAnsi="Arial"/>
          <w:sz w:val="22"/>
          <w:szCs w:val="22"/>
        </w:rPr>
        <w:t xml:space="preserve">Убыток организации (4 887 437,28 ₽) математически точно равен произведению числа оплаченных услуг (4 514) на величину недовозмещения на каждую услугу (1 082,73 ₽), что доказывает: весь убыток — это исключительно недополученное государственное возмещение по утверждённому тарифу.</w:t>
      </w:r>
    </w:p>
    <w:p>
      <w:pPr>
        <w:pStyle w:val="Heading2"/>
        <w:spacing w:after="160" w:before="280"/>
      </w:pPr>
      <w:r>
        <w:rPr>
          <w:rFonts w:ascii="Arial" w:cs="Arial" w:eastAsia="Arial" w:hAnsi="Arial"/>
          <w:b/>
          <w:bCs/>
          <w:color w:val="28251D"/>
          <w:sz w:val="26"/>
          <w:szCs w:val="26"/>
        </w:rPr>
        <w:t xml:space="preserve">6.2. Правовые последствия</w:t>
      </w:r>
    </w:p>
    <w:p>
      <w:pPr>
        <w:pStyle w:val="ListParagraph"/>
        <w:numPr>
          <w:ilvl w:val="0"/>
          <w:numId w:val="2"/>
        </w:numPr>
        <w:spacing w:after="80"/>
      </w:pPr>
      <w:r>
        <w:rPr>
          <w:rFonts w:ascii="Arial" w:cs="Arial" w:eastAsia="Arial" w:hAnsi="Arial"/>
          <w:sz w:val="22"/>
          <w:szCs w:val="22"/>
        </w:rPr>
        <w:t xml:space="preserve">Установленный в 2024 году тариф 2 300 ₽ нарушал статью 30 Федерального закона № 442-ФЗ, так как не возмещал фактических затрат негосударственного поставщика социальных услуг.</w:t>
      </w:r>
    </w:p>
    <w:p>
      <w:pPr>
        <w:pStyle w:val="ListParagraph"/>
        <w:numPr>
          <w:ilvl w:val="0"/>
          <w:numId w:val="2"/>
        </w:numPr>
        <w:spacing w:after="80"/>
      </w:pPr>
      <w:r>
        <w:rPr>
          <w:rFonts w:ascii="Arial" w:cs="Arial" w:eastAsia="Arial" w:hAnsi="Arial"/>
          <w:sz w:val="22"/>
          <w:szCs w:val="22"/>
        </w:rPr>
        <w:t xml:space="preserve">Снижение тарифа в 2025 году до 884,40 ₽ (приказ ДСЗН ЯНАО от 25.12.2024 № 202-ОД) усугубило это нарушение: новый тариф составляет менее 27% от экономически обоснованной себестоимости 2024 года.</w:t>
      </w:r>
    </w:p>
    <w:p>
      <w:pPr>
        <w:pStyle w:val="ListParagraph"/>
        <w:numPr>
          <w:ilvl w:val="0"/>
          <w:numId w:val="2"/>
        </w:numPr>
        <w:spacing w:after="80"/>
      </w:pPr>
      <w:r>
        <w:rPr>
          <w:rFonts w:ascii="Arial" w:cs="Arial" w:eastAsia="Arial" w:hAnsi="Arial"/>
          <w:sz w:val="22"/>
          <w:szCs w:val="22"/>
        </w:rPr>
        <w:t xml:space="preserve">При сохранении такого тарифа единственным экономически возможным результатом является дальнейшее наращивание убытка, прекращение организацией деятельности по социальному такси и, как следствие, ограничение конституционных прав инвалидов г. Ноябрьска на охрану здоровья, труд и социальную защиту.</w:t>
      </w:r>
    </w:p>
    <w:p>
      <w:pPr>
        <w:pStyle w:val="Heading2"/>
        <w:spacing w:after="160" w:before="280"/>
      </w:pPr>
      <w:r>
        <w:rPr>
          <w:rFonts w:ascii="Arial" w:cs="Arial" w:eastAsia="Arial" w:hAnsi="Arial"/>
          <w:b/>
          <w:bCs/>
          <w:color w:val="28251D"/>
          <w:sz w:val="26"/>
          <w:szCs w:val="26"/>
        </w:rPr>
        <w:t xml:space="preserve">6.3. Необходимый минимум для возмещения по 442-ФЗ</w:t>
      </w:r>
    </w:p>
    <w:p>
      <w:pPr>
        <w:spacing w:after="120" w:line="300"/>
        <w:ind w:firstLine="709"/>
        <w:jc w:val="both"/>
      </w:pPr>
      <w:r>
        <w:rPr>
          <w:rFonts w:ascii="Arial" w:cs="Arial" w:eastAsia="Arial" w:hAnsi="Arial"/>
          <w:sz w:val="22"/>
          <w:szCs w:val="22"/>
        </w:rPr>
        <w:t xml:space="preserve">Для обеспечения требования статьи 30 ФЗ № 442-ФЗ о полном возмещении расходов поставщикам социальных услуг тариф на услугу социального такси в условиях г. Ноябрьска должен составлять не менее 3 382,73 ₽ — на уровне фактической экономической себестоимости одной услуги, рассчитанной по данным бухгалтерского учёта 2024 года с применением выверенной методики, согласованной в Отчёте №1.</w:t>
      </w:r>
    </w:p>
    <w:p>
      <w:pPr>
        <w:spacing w:before="600"/>
      </w:pPr>
    </w:p>
    <w:p>
      <w:pPr>
        <w:spacing w:after="120" w:line="300"/>
        <w:ind w:firstLine="709"/>
        <w:jc w:val="both"/>
      </w:pPr>
      <w:r>
        <w:rPr>
          <w:rFonts w:ascii="Arial" w:cs="Arial" w:eastAsia="Arial" w:hAnsi="Arial"/>
          <w:b/>
          <w:bCs/>
          <w:sz w:val="22"/>
          <w:szCs w:val="22"/>
        </w:rPr>
        <w:t xml:space="preserve">Дополнительный блок подготовлен: </w:t>
      </w:r>
      <w:r>
        <w:rPr>
          <w:rFonts w:ascii="Arial" w:cs="Arial" w:eastAsia="Arial" w:hAnsi="Arial"/>
          <w:sz w:val="22"/>
          <w:szCs w:val="22"/>
        </w:rPr>
        <w:t xml:space="preserve">Богдановский Сергей Викторович, председатель правления РКООИ ЦИП "Таганай".</w:t>
      </w:r>
    </w:p>
    <w:p>
      <w:pPr>
        <w:spacing w:after="120" w:line="300"/>
        <w:ind w:firstLine="709"/>
        <w:jc w:val="both"/>
      </w:pPr>
      <w:r>
        <w:rPr>
          <w:rFonts w:ascii="Arial" w:cs="Arial" w:eastAsia="Arial" w:hAnsi="Arial"/>
          <w:b/>
          <w:bCs/>
          <w:sz w:val="22"/>
          <w:szCs w:val="22"/>
        </w:rPr>
        <w:t xml:space="preserve">Дата: </w:t>
      </w:r>
      <w:r>
        <w:rPr>
          <w:rFonts w:ascii="Arial" w:cs="Arial" w:eastAsia="Arial" w:hAnsi="Arial"/>
          <w:sz w:val="22"/>
          <w:szCs w:val="22"/>
        </w:rPr>
        <w:t xml:space="preserve">14 мая 2026 года, г. Ноябрьск, ЯНАО.</w:t>
      </w:r>
    </w:p>
    <w:p>
      <w:pPr>
        <w:spacing w:before="600"/>
      </w:pPr>
    </w:p>
    <w:p>
      <w:pPr>
        <w:spacing w:after="120" w:line="300"/>
        <w:jc w:val="both"/>
      </w:pPr>
      <w:r>
        <w:rPr>
          <w:rFonts w:ascii="Arial" w:cs="Arial" w:eastAsia="Arial" w:hAnsi="Arial"/>
          <w:sz w:val="22"/>
          <w:szCs w:val="22"/>
        </w:rPr>
        <w:t xml:space="preserve">___________________________ / С. В. Богдановский /</w:t>
      </w:r>
    </w:p>
    <w:p>
      <w:pPr>
        <w:spacing w:after="120" w:line="300"/>
        <w:jc w:val="both"/>
      </w:pPr>
      <w:r>
        <w:rPr>
          <w:rFonts w:ascii="Arial" w:cs="Arial" w:eastAsia="Arial" w:hAnsi="Arial"/>
          <w:sz w:val="22"/>
          <w:szCs w:val="22"/>
        </w:rPr>
        <w:t xml:space="preserve">М.П.</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7974"/>
        <w:sz w:val="18"/>
        <w:szCs w:val="18"/>
      </w:rPr>
      <w:t xml:space="preserve">Стр. </w:t>
    </w:r>
    <w:r>
      <w:rPr>
        <w:rFonts w:ascii="Arial" w:cs="Arial" w:eastAsia="Arial" w:hAnsi="Arial"/>
        <w:color w:val="7A7974"/>
        <w:sz w:val="18"/>
        <w:szCs w:val="18"/>
      </w:rPr>
      <w:fldChar w:fldCharType="begin"/>
      <w:instrText xml:space="preserve">PAGE</w:instrText>
      <w:fldChar w:fldCharType="separate"/>
      <w:fldChar w:fldCharType="end"/>
    </w:r>
    <w:r>
      <w:rPr>
        <w:rFonts w:ascii="Arial" w:cs="Arial" w:eastAsia="Arial" w:hAnsi="Arial"/>
        <w:color w:val="7A7974"/>
        <w:sz w:val="18"/>
        <w:szCs w:val="18"/>
      </w:rPr>
      <w:t xml:space="preserve"> из </w:t>
    </w:r>
    <w:r>
      <w:rPr>
        <w:rFonts w:ascii="Arial" w:cs="Arial" w:eastAsia="Arial" w:hAnsi="Arial"/>
        <w:color w:val="7A797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A7974"/>
        <w:sz w:val="18"/>
        <w:szCs w:val="18"/>
      </w:rPr>
      <w:t xml:space="preserve">Доп. блок к Отчёту №1 — Полная себестоимость 2024 | РКООИ "Таганай"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1696F"/>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2026-05-14T16:26:27.361Z</dcterms:created>
  <dcterms:modified xsi:type="dcterms:W3CDTF">2026-05-14T16:26:27.361Z</dcterms:modified>
</cp:coreProperties>
</file>

<file path=docProps/custom.xml><?xml version="1.0" encoding="utf-8"?>
<Properties xmlns="http://schemas.openxmlformats.org/officeDocument/2006/custom-properties" xmlns:vt="http://schemas.openxmlformats.org/officeDocument/2006/docPropsVTypes"/>
</file>