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РКООИ ЦИП «Таганай»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ОГРН 1138900000524, ИНН 8905998693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629805, ЯНАО, г. Ноябрьск, ул. Рабочая, д. 109-б, кв. 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ПОЯСНИТЕЛЬНАЯ ЗАПИСКА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 финансовому пакету приложений за 2024 год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(Оборотно-сальдовые ведомости по счетам 60, 62, 70, 76)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к Отчёту № 1 — Расчёт себестоимости услуги социального такси за 2024 год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Состав пакета приложений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Настоящий пакет представляет собой комплект первичных бухгалтерских документов — оборотно-сальдовых ведомостей (далее — ОСВ) по счетам 60, 62, 70, 76 за 2024 год, использованных при подготовке Отчёта № 1 по расчёту себестоимости услуги социального такси.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состав пакета входят следующие файлы: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pct" w:w="32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Имя файла</w:t>
            </w:r>
          </w:p>
        </w:tc>
        <w:tc>
          <w:tcPr>
            <w:tcW w:type="pct" w:w="30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pct" w:w="33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Связь с Отчётом № 1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06.X.1_ОСВ_60_2024_аналитика.xls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ОСВ-60 «Поставщики и подрядчики» с распределением на соцтакси по 7 группам затрат (УТОЧНЁННАЯ РЕДАКЦИЯ — см. раздел 3)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№ 2 к Отчёту № 1. Группы затрат пояснительной записки.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06.X.2_ОСВ_62_2024.xls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ОСВ-62 «Расчёты с покупателями и заказчиками» — поступления по соглашениям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Подтверждение доходной части 13 381 439,34 ₽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06.X.3_ОСВ_70_2024.xls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ОСВ-70 «Расчёты с персоналом по оплате труда». Лист «такси» содержит выборку 9 сотрудников соцтакси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№ 3 к Отчёту № 1. ФОТ соцтакси = 5 264 825,33 ₽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06.X.4_ОСВ_76_2024.xls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ОСВ-76 «Расчёты с разными дебиторами и кредиторами». Лист «сч 76» содержит выборку 12 исполнителей ГПХ по соцтакси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Приложение № 4 к Отчёту № 1. ГПХ соцтакси = 1 429 663,43 ₽</w:t>
            </w:r>
          </w:p>
        </w:tc>
      </w:tr>
      <w:tr>
        <w:tc>
          <w:tcPr>
            <w:tcW w:type="pct" w:w="5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pct" w:w="32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06.X.0_Пояснительная_записка.docx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Настоящий документ</w:t>
            </w:r>
          </w:p>
        </w:tc>
        <w:tc>
          <w:tcPr>
            <w:tcW w:type="pct" w:w="33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Сводное описание пакета и обоснование уточнений</w:t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Сводные итоги по 4 счетам за 2024 год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 данным первичной бухгалтерской отчётности (1С) за период с 01.01.2024 по 31.12.2024 обороты по счетам составили: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Счёт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pct" w:w="1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Оборот Дт, ₽</w:t>
            </w:r>
          </w:p>
        </w:tc>
        <w:tc>
          <w:tcPr>
            <w:tcW w:type="pct" w:w="1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Оборот Кт, ₽</w:t>
            </w:r>
          </w:p>
        </w:tc>
        <w:tc>
          <w:tcPr>
            <w:tcW w:type="pct" w:w="18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 соцтакси, ₽</w:t>
            </w:r>
          </w:p>
        </w:tc>
        <w:tc>
          <w:tcPr>
            <w:tcW w:type="pct" w:w="17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 выделения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Поставщики и подрядчики</w:t>
            </w:r>
          </w:p>
        </w:tc>
        <w:tc>
          <w:tcPr>
            <w:tcW w:type="pct" w:w="1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5 297 737,80</w:t>
            </w:r>
          </w:p>
        </w:tc>
        <w:tc>
          <w:tcPr>
            <w:tcW w:type="pct" w:w="1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6 105 292,71</w:t>
            </w:r>
          </w:p>
        </w:tc>
        <w:tc>
          <w:tcPr>
            <w:tcW w:type="pct" w:w="18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7 727 561,55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Группировка по 7 категориям с k=0,78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62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Покупатели и заказчики (доходы)</w:t>
            </w:r>
          </w:p>
        </w:tc>
        <w:tc>
          <w:tcPr>
            <w:tcW w:type="pct" w:w="1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2 117 094,92</w:t>
            </w:r>
          </w:p>
        </w:tc>
        <w:tc>
          <w:tcPr>
            <w:tcW w:type="pct" w:w="1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3 657 046,29</w:t>
            </w:r>
          </w:p>
        </w:tc>
        <w:tc>
          <w:tcPr>
            <w:tcW w:type="pct" w:w="18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13 381 439,34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Соглашения 24-24, 32-24, 6-23 (соцтакси)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70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Заработная плата</w:t>
            </w:r>
          </w:p>
        </w:tc>
        <w:tc>
          <w:tcPr>
            <w:tcW w:type="pct" w:w="1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13 951 968,65</w:t>
            </w:r>
          </w:p>
        </w:tc>
        <w:tc>
          <w:tcPr>
            <w:tcW w:type="pct" w:w="1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14 600 784,72</w:t>
            </w:r>
          </w:p>
        </w:tc>
        <w:tc>
          <w:tcPr>
            <w:tcW w:type="pct" w:w="18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5 264 825,33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Выборка 9 сотрудников соцтакси (лист «такси»)</w:t>
            </w:r>
          </w:p>
        </w:tc>
      </w:tr>
      <w:tr>
        <w:tc>
          <w:tcPr>
            <w:tcW w:type="pct" w:w="10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Расчёты по ГПХ (договорам гражданско-правового характера)</w:t>
            </w:r>
          </w:p>
        </w:tc>
        <w:tc>
          <w:tcPr>
            <w:tcW w:type="pct" w:w="1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12 145 069,78</w:t>
            </w:r>
          </w:p>
        </w:tc>
        <w:tc>
          <w:tcPr>
            <w:tcW w:type="pct" w:w="1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11 901 143,98</w:t>
            </w:r>
          </w:p>
        </w:tc>
        <w:tc>
          <w:tcPr>
            <w:tcW w:type="pct" w:w="18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1 429 663,43</w:t>
            </w:r>
          </w:p>
        </w:tc>
        <w:tc>
          <w:tcPr>
            <w:tcW w:type="pct" w:w="17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Выборка 12 исполнителей соцтакси (лист «сч 76»)</w:t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Уточнение по счёту 60 — обоснование разницы с Отчётом № 1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проведении повторной аналитики ОСВ-60 за 2024 год выявлено, что в первоначальной редакции расчёта (использованного при подготовке Отчёта № 1) расходы по сч. 60 на соцтакси были учтены не в полном объёме.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Сравнительная таблица расхождений: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pct" w:w="27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Первоначальная редакция (Отчёт № 1)</w:t>
            </w:r>
          </w:p>
        </w:tc>
        <w:tc>
          <w:tcPr>
            <w:tcW w:type="pct" w:w="28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Уточнённая редакция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учтённых контрагентов</w:t>
            </w:r>
          </w:p>
        </w:tc>
        <w:tc>
          <w:tcPr>
            <w:tcW w:type="pct" w:w="27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24</w:t>
            </w:r>
          </w:p>
        </w:tc>
        <w:tc>
          <w:tcPr>
            <w:tcW w:type="pct" w:w="28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 (включено) + 61 (исключено с пояснением)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Оборот Дт по сч. 60</w:t>
            </w:r>
          </w:p>
        </w:tc>
        <w:tc>
          <w:tcPr>
            <w:tcW w:type="pct" w:w="27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5 297 737,80 ₽</w:t>
            </w:r>
          </w:p>
        </w:tc>
        <w:tc>
          <w:tcPr>
            <w:tcW w:type="pct" w:w="28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5 297 737,80 ₽ (без изменений)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Оборот Кт по сч. 60</w:t>
            </w:r>
          </w:p>
        </w:tc>
        <w:tc>
          <w:tcPr>
            <w:tcW w:type="pct" w:w="27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6 105 292,71 ₽</w:t>
            </w:r>
          </w:p>
        </w:tc>
        <w:tc>
          <w:tcPr>
            <w:tcW w:type="pct" w:w="28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6 105 292,71 ₽ (без изменений)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Расходы по сч. 60, отнесённые на соцтакси</w:t>
            </w:r>
          </w:p>
        </w:tc>
        <w:tc>
          <w:tcPr>
            <w:tcW w:type="pct" w:w="27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5 297 737,80 ₽</w:t>
            </w:r>
          </w:p>
        </w:tc>
        <w:tc>
          <w:tcPr>
            <w:tcW w:type="pct" w:w="28%"/>
            <w:shd w:fill="FFF2CC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7 727 561,55 ₽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Разница (увеличение)</w:t>
            </w:r>
          </w:p>
        </w:tc>
        <w:tc>
          <w:tcPr>
            <w:tcW w:type="pct" w:w="27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pct" w:w="28%"/>
            <w:shd w:fill="FFF2CC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+2 429 823,75 ₽</w:t>
            </w:r>
          </w:p>
        </w:tc>
      </w:tr>
    </w:tbl>
    <w:p>
      <w:pPr>
        <w:spacing w:after="2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Причины разницы: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В первоначальной редакции по ряду ключевых контрагентов были учтены неполные суммы фактических расходов: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Контрагент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pct" w:w="13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Было (₽)</w:t>
            </w:r>
          </w:p>
        </w:tc>
        <w:tc>
          <w:tcPr>
            <w:tcW w:type="pct" w:w="13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Стало (₽)</w:t>
            </w:r>
          </w:p>
        </w:tc>
        <w:tc>
          <w:tcPr>
            <w:tcW w:type="pct" w:w="14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Разница (₽)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Лопакова Н.Ф.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Аренда автомобиля (полный год)</w:t>
            </w:r>
          </w:p>
        </w:tc>
        <w:tc>
          <w:tcPr>
            <w:tcW w:type="pct" w:w="13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1 080 000</w:t>
            </w:r>
          </w:p>
        </w:tc>
        <w:tc>
          <w:tcPr>
            <w:tcW w:type="pct" w:w="13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2 070 000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+990 000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Норчак Е.А.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Аренда гаража/стоянки</w:t>
            </w:r>
          </w:p>
        </w:tc>
        <w:tc>
          <w:tcPr>
            <w:tcW w:type="pct" w:w="13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487 298</w:t>
            </w:r>
          </w:p>
        </w:tc>
        <w:tc>
          <w:tcPr>
            <w:tcW w:type="pct" w:w="13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997 571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+510 273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ЭК Восток АО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Электроэнергия</w:t>
            </w:r>
          </w:p>
        </w:tc>
        <w:tc>
          <w:tcPr>
            <w:tcW w:type="pct" w:w="13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166 833,13</w:t>
            </w:r>
          </w:p>
        </w:tc>
        <w:tc>
          <w:tcPr>
            <w:tcW w:type="pct" w:w="13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578 680,55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+411 847,42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Ярош В.В.</w:t>
            </w:r>
          </w:p>
        </w:tc>
        <w:tc>
          <w:tcPr>
            <w:tcW w:type="pct" w:w="2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Заправка картриджа, ремонт МФУ</w:t>
            </w:r>
          </w:p>
        </w:tc>
        <w:tc>
          <w:tcPr>
            <w:tcW w:type="pct" w:w="13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117 385</w:t>
            </w:r>
          </w:p>
        </w:tc>
        <w:tc>
          <w:tcPr>
            <w:tcW w:type="pct" w:w="13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211 252</w:t>
            </w:r>
          </w:p>
        </w:tc>
        <w:tc>
          <w:tcPr>
            <w:tcW w:type="pct" w:w="14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+93 867</w:t>
            </w:r>
          </w:p>
        </w:tc>
      </w:tr>
    </w:tbl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В первоначальной редакции не были учтены контрагенты по коммунальным услугам, фактически оказанным в 2024 году: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Контрагент</w:t>
            </w:r>
          </w:p>
        </w:tc>
        <w:tc>
          <w:tcPr>
            <w:tcW w:type="pct" w:w="30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pct" w:w="2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(₽)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Газпром добыча Надым ООО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Коммунальные услуги (отопление)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595 915,12</w:t>
            </w:r>
          </w:p>
        </w:tc>
      </w:tr>
      <w:tr>
        <w:tc>
          <w:tcPr>
            <w:tcW w:type="pct" w:w="4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Газпром межрегионгаз Север ООО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Природный газ</w:t>
            </w:r>
          </w:p>
        </w:tc>
        <w:tc>
          <w:tcPr>
            <w:tcW w:type="pct" w:w="25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270 998,82</w:t>
            </w:r>
          </w:p>
        </w:tc>
      </w:tr>
    </w:tbl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Уточнение носит характер методической полноты учёта и не является корректировкой бухгалтерских данных. Первичные бухгалтерские записи (ОСВ-60 в составе пакета) не менялись. Изменилась только аналитическая обработка — теперь в свод включены все контрагенты, фактически оказывавшие услуги для деятельности социального такси в 2024 году.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4) Уточнение увеличивает обоснованный убыток по соцтакси за 2024 год и подтверждает доводы РКООИ ЦИП «Таганай» о недостаточности тарифа, утверждённого Департаментом социальной защиты населения ЯНАО.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Финансовый эффект уточнения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 учётом уточнённой редакции ОСВ-60 расчёт себестоимости соцтакси за 2024 год выглядит следующим образом: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Статья</w:t>
            </w:r>
          </w:p>
        </w:tc>
        <w:tc>
          <w:tcPr>
            <w:tcW w:type="pct" w:w="22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 Отчёту № 1, ₽</w:t>
            </w:r>
          </w:p>
        </w:tc>
        <w:tc>
          <w:tcPr>
            <w:tcW w:type="pct" w:w="22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Уточнённая редакция, ₽</w:t>
            </w:r>
          </w:p>
        </w:tc>
        <w:tc>
          <w:tcPr>
            <w:tcW w:type="pct" w:w="21%"/>
            <w:shd w:fill="D9E2F3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 (изменение)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Сч. 60 на соцтакси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5 297 737,80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7 727 561,55</w:t>
            </w:r>
          </w:p>
        </w:tc>
        <w:tc>
          <w:tcPr>
            <w:tcW w:type="pct" w:w="21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+2 429 823,75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Сч. 70 на соцтакси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2 342 950,26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2 342 950,26</w:t>
            </w:r>
          </w:p>
        </w:tc>
        <w:tc>
          <w:tcPr>
            <w:tcW w:type="pct" w:w="21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Сч. 76 на соцтакси (ГПХ)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1 336 238,43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1 336 238,43</w:t>
            </w:r>
          </w:p>
        </w:tc>
        <w:tc>
          <w:tcPr>
            <w:tcW w:type="pct" w:w="21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Сч. 69 (страховые взносы)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478 294,53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478 294,53</w:t>
            </w:r>
          </w:p>
        </w:tc>
        <w:tc>
          <w:tcPr>
            <w:tcW w:type="pct" w:w="21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Сч. 02 (амортизация)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458 333,36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458 333,36</w:t>
            </w:r>
          </w:p>
        </w:tc>
        <w:tc>
          <w:tcPr>
            <w:tcW w:type="pct" w:w="21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35%"/>
            <w:shd w:fill="FFF2CC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 расходы на соцтакси</w:t>
            </w:r>
          </w:p>
        </w:tc>
        <w:tc>
          <w:tcPr>
            <w:tcW w:type="pct" w:w="22%"/>
            <w:shd w:fill="FFF2CC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9 913 554,38</w:t>
            </w:r>
          </w:p>
        </w:tc>
        <w:tc>
          <w:tcPr>
            <w:tcW w:type="pct" w:w="22%"/>
            <w:shd w:fill="FFF2CC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12 343 378,13</w:t>
            </w:r>
          </w:p>
        </w:tc>
        <w:tc>
          <w:tcPr>
            <w:tcW w:type="pct" w:w="21%"/>
            <w:shd w:fill="FFF2CC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+2 429 823,75</w:t>
            </w:r>
          </w:p>
        </w:tc>
      </w:tr>
      <w:tr>
        <w:tc>
          <w:tcPr>
            <w:tcW w:type="pct" w:w="35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Доходы по соцтакси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13 381 439,34</w:t>
            </w:r>
          </w:p>
        </w:tc>
        <w:tc>
          <w:tcPr>
            <w:tcW w:type="pct" w:w="22%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13 381 439,34</w:t>
            </w:r>
          </w:p>
        </w:tc>
        <w:tc>
          <w:tcPr>
            <w:tcW w:type="pct" w:w="21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pct" w:w="35%"/>
            <w:shd w:fill="FCE4D6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Финансовый результат соцтакси</w:t>
            </w:r>
          </w:p>
        </w:tc>
        <w:tc>
          <w:tcPr>
            <w:tcW w:type="pct" w:w="22%"/>
            <w:shd w:fill="FCE4D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+3 467 884,96</w:t>
            </w:r>
          </w:p>
        </w:tc>
        <w:tc>
          <w:tcPr>
            <w:tcW w:type="pct" w:w="22%"/>
            <w:shd w:fill="FCE4D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+1 038 061,21</w:t>
            </w:r>
          </w:p>
        </w:tc>
        <w:tc>
          <w:tcPr>
            <w:tcW w:type="pct" w:w="21%"/>
            <w:shd w:fill="FCE4D6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−2 429 823,75</w:t>
            </w:r>
          </w:p>
        </w:tc>
      </w:tr>
    </w:tbl>
    <w:p>
      <w:pPr>
        <w:spacing w:after="1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Примечание. Указанный расчёт отражает себестоимость отдельно по направлению «социальное такси» и учитывает коэффициент распределения k=0,78 для административных расходов (Связь и IT, прочие эксплуатационные, коммунальные услуги). Полный фактический убыток по всей организации, рассчитанный по обороту Кт счетов бухгалтерского учёта без распределения, составляет иную, бо́льшую величину и обоснован отдельно в Отчёте № 1.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Заключение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Настоящий пакет приложений представляет собой комплект первичных бухгалтерских документов, подтверждающих расчёт себестоимости услуги социального такси за 2024 год.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По счёту 60 представлена уточнённая редакция аналитики с включением всех контрагентов, фактически оказывавших услуги по содержанию автопарка соцтакси в 2024 году. Уточнение носит характер методической полноты, не изменяет первичных бухгалтерских данных и подтверждено приложенным сырым экспортом из 1С.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По счетам 62, 70, 76 представлены данные без изменений относительно Отчёта № 1.</w:t>
      </w:r>
    </w:p>
    <w:p>
      <w:pPr>
        <w:spacing w:after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4) Уточнение усиливает обоснование позиции РКООИ ЦИП «Таганай» о недостаточности утверждённого тарифа на услуги социального такси и существенно увеличивает обоснованный показатель расходов на содержание службы соцтакси.</w:t>
      </w:r>
    </w:p>
    <w:p>
      <w:pPr>
        <w:spacing w:after="4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/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Председатель правления РКООИ ЦИП «Таганай»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___________________________ / С.В. Богдановский /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М.П.</w:t>
      </w:r>
    </w:p>
    <w:p>
      <w:pPr>
        <w:spacing w:after="12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«____» ___________ 2026 г.</w:t>
      </w:r>
    </w:p>
    <w:sectPr>
      <w:pgSz w:w="11906" w:h="16838" w:orient="portrait"/>
      <w:pgMar w:top="1080" w:right="72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к финансовому пакету 2024</dc:title>
  <dc:creator>РКООИ ЦИП «Таганай»</dc:creator>
  <cp:lastModifiedBy>Un-named</cp:lastModifiedBy>
  <cp:revision>1</cp:revision>
  <dcterms:created xsi:type="dcterms:W3CDTF">2026-05-16T04:34:23.090Z</dcterms:created>
  <dcterms:modified xsi:type="dcterms:W3CDTF">2026-05-16T04:34:23.090Z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