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b/>
          <w:bCs/>
          <w:i/>
          <w:iCs/>
        </w:rPr>
      </w:r>
      <w:r>
        <w:rPr>
          <w:b/>
          <w:bCs/>
          <w:iCs/>
          <w:sz w:val="26"/>
          <w:szCs w:val="26"/>
        </w:rPr>
        <w:t xml:space="preserve">Указания по заполнению формы федерального статистического наблюдения</w:t>
      </w:r>
      <w:r/>
    </w:p>
    <w:p>
      <w:pPr>
        <w:pStyle w:val="683"/>
        <w:ind w:left="0" w:right="0" w:firstLine="0"/>
        <w:jc w:val="center"/>
        <w:spacing w:before="120" w:after="120"/>
      </w:pPr>
      <w:r>
        <w:rPr>
          <w:b/>
        </w:rPr>
        <w:t xml:space="preserve">Сведения о среднесписочной численности и квалификации </w:t>
      </w:r>
      <w:r>
        <w:rPr>
          <w:b/>
        </w:rPr>
        <w:t xml:space="preserve">работников</w:t>
      </w:r>
      <w:r>
        <w:rPr>
          <w:b/>
        </w:rPr>
        <w:t xml:space="preserve"> поставщиков социальных услуг</w:t>
      </w:r>
      <w:r>
        <w:rPr>
          <w:b/>
        </w:rPr>
      </w:r>
      <w:r/>
    </w:p>
    <w:p>
      <w:pPr>
        <w:pStyle w:val="683"/>
        <w:ind w:firstLine="709"/>
        <w:jc w:val="both"/>
      </w:pPr>
      <w:r>
        <w:t xml:space="preserve">1. </w:t>
      </w:r>
      <w:r>
        <w:t xml:space="preserve">Раздел содержит данные о среднесписочной численности работников поставщиков социальных услуг региона в разрезе видов должностей и о подтверждении соответствия их квалификации профессиональным стандартам в соответствии с Федеральным законом </w:t>
      </w:r>
      <w:r>
        <w:br/>
        <w:t xml:space="preserve">от 3 июля 2016 г. № 238-ФЗ «О независимой оценке квалификации».</w:t>
      </w:r>
      <w:r/>
    </w:p>
    <w:p>
      <w:pPr>
        <w:pStyle w:val="683"/>
        <w:ind w:firstLine="709"/>
        <w:jc w:val="both"/>
      </w:pPr>
      <w:r>
        <w:t xml:space="preserve">Также приводится разбивка показателя по признакам:</w:t>
      </w:r>
      <w:r/>
    </w:p>
    <w:p>
      <w:pPr>
        <w:pStyle w:val="683"/>
        <w:ind w:firstLine="709"/>
        <w:jc w:val="both"/>
      </w:pPr>
      <w:r>
        <w:t xml:space="preserve">тип поставщиков в соответствии с примерной номенклатурой организаций социального обслуживания;</w:t>
      </w:r>
      <w:r/>
    </w:p>
    <w:p>
      <w:pPr>
        <w:pStyle w:val="683"/>
        <w:ind w:firstLine="709"/>
        <w:jc w:val="both"/>
      </w:pPr>
      <w:r>
        <w:t xml:space="preserve">направление работы (предоставление социальных услуг на дому, в полустационарной форме, в стационарной форме).</w:t>
      </w:r>
      <w:r/>
    </w:p>
    <w:p>
      <w:pPr>
        <w:pStyle w:val="683"/>
        <w:ind w:firstLine="709"/>
        <w:jc w:val="both"/>
      </w:pPr>
      <w:r>
        <w:t xml:space="preserve">Основной персонал. </w:t>
      </w:r>
      <w:r>
        <w:t xml:space="preserve">Также учитывается административно-управленческий и вспомогательный персонал поставщиков социальных услуг.</w:t>
      </w:r>
      <w:r/>
    </w:p>
    <w:p>
      <w:pPr>
        <w:pStyle w:val="683"/>
        <w:ind w:firstLine="709"/>
        <w:jc w:val="both"/>
      </w:pPr>
      <w:r>
        <w:t xml:space="preserve">Специалист (физическое л</w:t>
      </w:r>
      <w:r>
        <w:t xml:space="preserve">ицо) указывается только один раз. Если услуги оказываются в нескольких формах социального обслуживания, либо срочных социальных услугах, то указывается в той форме, где социальных услуг (срочных социальных услуг) оказано больше в течение отчетного периода.</w:t>
      </w:r>
      <w:r/>
    </w:p>
    <w:p>
      <w:pPr>
        <w:pStyle w:val="683"/>
        <w:ind w:firstLine="709"/>
        <w:jc w:val="both"/>
      </w:pPr>
      <w:r>
        <w:t xml:space="preserve">Работник, получающий в одной организации две, полторы или менее одной ставки или оформленный в одной организации как внутренний совместитель, учитывается в списочной численности работников как один человек (целая единица).</w:t>
      </w:r>
      <w:r/>
    </w:p>
    <w:p>
      <w:pPr>
        <w:pStyle w:val="683"/>
        <w:ind w:firstLine="709"/>
        <w:jc w:val="both"/>
      </w:pPr>
      <w:r>
        <w:t xml:space="preserve">При заполнении указанного раздела формы приводятся данные о средней численности работников списочного состава </w:t>
      </w:r>
      <w:r>
        <w:br/>
        <w:t xml:space="preserve">или среднесписочной численности работников за отчетный период.</w:t>
      </w:r>
      <w:r/>
    </w:p>
    <w:p>
      <w:pPr>
        <w:pStyle w:val="683"/>
        <w:ind w:firstLine="709"/>
        <w:jc w:val="both"/>
      </w:pPr>
      <w:r>
        <w:t xml:space="preserve">Среднесписочная численность работников за период с начала года определяется путем суммирования среднесписочной численности работников за все месяцы, истекшие за период с начала года, и деления полученной суммы на число месяцев за период с начала года.</w:t>
      </w:r>
      <w:r/>
    </w:p>
    <w:p>
      <w:pPr>
        <w:pStyle w:val="683"/>
        <w:ind w:firstLine="709"/>
        <w:jc w:val="both"/>
      </w:pPr>
      <w:r>
        <w:t xml:space="preserve">Средне</w:t>
      </w:r>
      <w:r>
        <w:t xml:space="preserve">списочная численность работников за месяц исчисляется путем суммирования списочной численности работников за каждый календарный день месяца, то есть с 1 по 30 или 31 число (для февраля – по 28 или 29 число), включая праздничные (нерабочие) и выходные дни, </w:t>
      </w:r>
      <w:r>
        <w:br/>
        <w:t xml:space="preserve">и деления полученной суммы на число календарных дней месяца. В рамках настоящего статистического наблюдения данные приводятся </w:t>
      </w:r>
      <w:r>
        <w:br/>
        <w:t xml:space="preserve">с одним десятичным знаком.</w:t>
      </w:r>
      <w:r/>
    </w:p>
    <w:p>
      <w:pPr>
        <w:pStyle w:val="683"/>
        <w:ind w:firstLine="709"/>
        <w:jc w:val="both"/>
      </w:pPr>
      <w:r>
        <w:t xml:space="preserve">Расчет среднесписочной численности работников производится на основании ежедневного учета списочной численности работников, которая должна уточняться на основании приказов о приеме, переводе работников на другую работу и прекращении трудового договора. </w:t>
      </w:r>
      <w:r>
        <w:br/>
      </w:r>
      <w:r>
        <w:t xml:space="preserve">При этом за каждый день истекшего периода с начала года необходимо распределить работников списочного состава по категориям персонала, суммировать по категориям начисленную за этот период зара</w:t>
      </w:r>
      <w:r>
        <w:t xml:space="preserve">ботную плату, исчислить среднесписочную численность работников по каждой категории, что даст возможность отразить переход работника в течение отчетного периода из одной категории в другую (например, если работник 6 месяцев работал как врач, а последующие 6</w:t>
      </w:r>
      <w:r>
        <w:t xml:space="preserve"> месяцев – как заместитель руководителя).</w:t>
      </w:r>
      <w:r/>
    </w:p>
    <w:p>
      <w:pPr>
        <w:pStyle w:val="683"/>
        <w:ind w:firstLine="709"/>
        <w:jc w:val="both"/>
      </w:pPr>
      <w:r>
        <w:t xml:space="preserve">Численность работников списочного состава за выходной или праздничный (нерабочий) день принимается равной списочной численности работников за предшествующий рабочий день. При наличии двух или</w:t>
      </w:r>
      <w:r>
        <w:t xml:space="preserve"> более выходных или праздничных (нерабочих) дней подряд численность работников списочного состава за каждый из этих дней принимается равной численности работников списочного состава за рабочий день, предшествовавший выходным и праздничным (нерабочим) дням.</w:t>
      </w:r>
      <w:r/>
    </w:p>
    <w:p>
      <w:pPr>
        <w:pStyle w:val="683"/>
        <w:ind w:firstLine="709"/>
        <w:jc w:val="both"/>
      </w:pPr>
      <w:r>
        <w:t xml:space="preserve">Численность работников списочного состава за каждый день должна соответствовать данным табеля учета рабочего времени работников, на основании которого устанавливается численность работников, явившихся и не явившихся на работу.</w:t>
      </w:r>
      <w:r/>
    </w:p>
    <w:p>
      <w:pPr>
        <w:pStyle w:val="683"/>
        <w:ind w:firstLine="709"/>
        <w:jc w:val="both"/>
      </w:pPr>
      <w:r>
        <w:t xml:space="preserve">Не включаются в списочную численность работники:</w:t>
      </w:r>
      <w:r/>
    </w:p>
    <w:p>
      <w:pPr>
        <w:pStyle w:val="683"/>
        <w:ind w:firstLine="709"/>
        <w:jc w:val="both"/>
      </w:pPr>
      <w:r>
        <w:t xml:space="preserve">а) </w:t>
      </w:r>
      <w:r>
        <w:t xml:space="preserve">принятые</w:t>
      </w:r>
      <w:r>
        <w:t xml:space="preserve"> на работу по совместительству из других организаций;</w:t>
      </w:r>
      <w:r/>
    </w:p>
    <w:p>
      <w:pPr>
        <w:pStyle w:val="683"/>
        <w:ind w:firstLine="709"/>
        <w:jc w:val="both"/>
      </w:pPr>
      <w:r>
        <w:t xml:space="preserve">б) выполнявшие работу по договорам гражданско-правового характера (за исключением работников, состоящих в штате организации </w:t>
      </w:r>
      <w:r>
        <w:br/>
        <w:t xml:space="preserve">и выполняющих работу по договорам гражданско-правового характера в той же организации);</w:t>
      </w:r>
      <w:r/>
    </w:p>
    <w:p>
      <w:pPr>
        <w:pStyle w:val="683"/>
        <w:ind w:firstLine="709"/>
        <w:jc w:val="both"/>
      </w:pPr>
      <w:r>
        <w:t xml:space="preserve">в) </w:t>
      </w:r>
      <w:r>
        <w:t xml:space="preserve">переведенные</w:t>
      </w:r>
      <w:r>
        <w:t xml:space="preserve"> на работу в другую организацию, если за ними не сохраняется заработная плата, а также направленные на работу </w:t>
      </w:r>
      <w:r>
        <w:br/>
        <w:t xml:space="preserve">за границу;</w:t>
      </w:r>
      <w:r/>
    </w:p>
    <w:p>
      <w:pPr>
        <w:pStyle w:val="683"/>
        <w:ind w:firstLine="709"/>
        <w:jc w:val="both"/>
      </w:pPr>
      <w:r>
        <w:t xml:space="preserve">г) направ</w:t>
      </w:r>
      <w:r>
        <w:t xml:space="preserve">ленные организациями на обучение в образовательные организации с отрывом от работы, получающие стипендию за счет средств этих организаций; лица, с которыми заключен ученический договор на профессиональное обучение с выплатой в период ученичества стипендии;</w:t>
      </w:r>
      <w:r/>
    </w:p>
    <w:p>
      <w:pPr>
        <w:pStyle w:val="683"/>
        <w:ind w:firstLine="709"/>
        <w:jc w:val="both"/>
      </w:pPr>
      <w:r>
        <w:t xml:space="preserve">д) подавшие заявление об увольнении и прекратившие работу до истечения срока предупреждения или прекратившие работу </w:t>
      </w:r>
      <w:r>
        <w:br/>
        <w:t xml:space="preserve">без предупреждения администрации. Они исключаются из списочной численности работников с первого дня невыхода на работу;</w:t>
      </w:r>
      <w:r/>
    </w:p>
    <w:p>
      <w:pPr>
        <w:pStyle w:val="683"/>
        <w:ind w:firstLine="709"/>
        <w:jc w:val="both"/>
      </w:pPr>
      <w:r>
        <w:t xml:space="preserve">е) военнослужащие при исполнении ими обязанностей военной службы.</w:t>
      </w:r>
      <w:r/>
    </w:p>
    <w:p>
      <w:pPr>
        <w:pStyle w:val="683"/>
        <w:ind w:firstLine="709"/>
        <w:jc w:val="both"/>
      </w:pPr>
      <w:r>
        <w:t xml:space="preserve">2. Значение графы 3 равно сумме значений граф 4, 6, 8, 9, 11–20 соответственно по всем строкам. </w:t>
      </w:r>
      <w:r/>
    </w:p>
    <w:p>
      <w:pPr>
        <w:pStyle w:val="683"/>
        <w:ind w:firstLine="709"/>
        <w:jc w:val="both"/>
      </w:pPr>
      <w:r>
        <w:t xml:space="preserve">Графа 21 заполняется в отношении специалистов, имеющих свидетельство о повышении квалификации по результатам независимой оценки квалификации, действующее на любом периоде отчетного года.</w:t>
      </w:r>
      <w:r/>
    </w:p>
    <w:p>
      <w:pPr>
        <w:pStyle w:val="683"/>
        <w:ind w:firstLine="709"/>
        <w:jc w:val="both"/>
      </w:pPr>
      <w:r>
        <w:t xml:space="preserve">3. Значение строки </w:t>
      </w:r>
      <w:r>
        <w:t xml:space="preserve">401 равно сумме значений строк 402</w:t>
      </w:r>
      <w:r>
        <w:t xml:space="preserve">, </w:t>
      </w:r>
      <w:r>
        <w:t xml:space="preserve">406, 45</w:t>
      </w:r>
      <w:r>
        <w:t xml:space="preserve">4, </w:t>
      </w:r>
      <w:r>
        <w:t xml:space="preserve">525, 532</w:t>
      </w:r>
      <w:r>
        <w:t xml:space="preserve">, </w:t>
      </w:r>
      <w:r>
        <w:t xml:space="preserve">547</w:t>
      </w:r>
      <w:r>
        <w:t xml:space="preserve">.</w:t>
      </w:r>
      <w:r/>
    </w:p>
    <w:p>
      <w:pPr>
        <w:pStyle w:val="683"/>
        <w:ind w:firstLine="709"/>
        <w:jc w:val="both"/>
      </w:pPr>
      <w:r>
        <w:t xml:space="preserve">Значение строки </w:t>
      </w:r>
      <w:r>
        <w:t xml:space="preserve">402</w:t>
      </w:r>
      <w:r>
        <w:t xml:space="preserve"> равно сумме значений строк</w:t>
      </w:r>
      <w:r>
        <w:t xml:space="preserve"> 403</w:t>
      </w:r>
      <w:r>
        <w:t xml:space="preserve">–</w:t>
      </w:r>
      <w:r>
        <w:t xml:space="preserve">405</w:t>
      </w:r>
      <w:r>
        <w:t xml:space="preserve">.</w:t>
      </w:r>
      <w:r/>
    </w:p>
    <w:p>
      <w:pPr>
        <w:pStyle w:val="683"/>
        <w:ind w:firstLine="709"/>
        <w:jc w:val="both"/>
      </w:pPr>
      <w:r>
        <w:t xml:space="preserve">Значение строки </w:t>
      </w:r>
      <w:r>
        <w:t xml:space="preserve">406 </w:t>
      </w:r>
      <w:r>
        <w:t xml:space="preserve">равно сумме значений строк </w:t>
      </w:r>
      <w:r>
        <w:t xml:space="preserve">407 и 416</w:t>
      </w:r>
      <w:r>
        <w:t xml:space="preserve">.</w:t>
      </w:r>
      <w:r/>
    </w:p>
    <w:p>
      <w:pPr>
        <w:pStyle w:val="683"/>
        <w:ind w:firstLine="709"/>
        <w:jc w:val="both"/>
      </w:pPr>
      <w:r>
        <w:t xml:space="preserve">Значение строки </w:t>
      </w:r>
      <w:r>
        <w:t xml:space="preserve">407 равно</w:t>
      </w:r>
      <w:r>
        <w:t xml:space="preserve"> сумме значений строк </w:t>
      </w:r>
      <w:r>
        <w:t xml:space="preserve">408–415</w:t>
      </w:r>
      <w:r>
        <w:t xml:space="preserve">.</w:t>
      </w:r>
      <w:r/>
    </w:p>
    <w:p>
      <w:pPr>
        <w:pStyle w:val="683"/>
        <w:ind w:firstLine="709"/>
        <w:jc w:val="both"/>
      </w:pPr>
      <w:r>
        <w:t xml:space="preserve">Значение строки </w:t>
      </w:r>
      <w:r>
        <w:t xml:space="preserve">416</w:t>
      </w:r>
      <w:r>
        <w:t xml:space="preserve"> р</w:t>
      </w:r>
      <w:r>
        <w:t xml:space="preserve">авно сумме значений строк 398, </w:t>
      </w:r>
      <w:r>
        <w:t xml:space="preserve">412</w:t>
      </w:r>
      <w:r>
        <w:t xml:space="preserve"> и 426</w:t>
      </w:r>
      <w:r>
        <w:t xml:space="preserve">.</w:t>
      </w:r>
      <w:r/>
    </w:p>
    <w:p>
      <w:pPr>
        <w:pStyle w:val="683"/>
        <w:ind w:firstLine="709"/>
        <w:jc w:val="both"/>
      </w:pPr>
      <w:r>
        <w:t xml:space="preserve">Значение строки 427</w:t>
      </w:r>
      <w:r>
        <w:t xml:space="preserve"> равно сумме значений строк </w:t>
      </w:r>
      <w:r>
        <w:t xml:space="preserve">428–440</w:t>
      </w:r>
      <w:r>
        <w:t xml:space="preserve">.</w:t>
      </w:r>
      <w:r/>
    </w:p>
    <w:p>
      <w:pPr>
        <w:pStyle w:val="683"/>
        <w:ind w:firstLine="709"/>
        <w:jc w:val="both"/>
      </w:pPr>
      <w:r>
        <w:t xml:space="preserve">Значение строки 4</w:t>
      </w:r>
      <w:r>
        <w:t xml:space="preserve">41</w:t>
      </w:r>
      <w:r>
        <w:t xml:space="preserve"> равно сумме значений строк 4</w:t>
      </w:r>
      <w:r>
        <w:t xml:space="preserve">42–453</w:t>
      </w:r>
      <w:r>
        <w:t xml:space="preserve">.   </w:t>
      </w:r>
      <w:r/>
    </w:p>
    <w:p>
      <w:pPr>
        <w:pStyle w:val="683"/>
        <w:ind w:firstLine="709"/>
        <w:jc w:val="both"/>
      </w:pPr>
      <w:r>
        <w:t xml:space="preserve">Значение строки 454 равно сумме значений строк 455, 465 и 504</w:t>
      </w:r>
      <w:r>
        <w:t xml:space="preserve">.</w:t>
      </w:r>
      <w:r/>
    </w:p>
    <w:p>
      <w:pPr>
        <w:pStyle w:val="683"/>
        <w:ind w:firstLine="709"/>
        <w:jc w:val="both"/>
      </w:pPr>
      <w:r>
        <w:t xml:space="preserve">Значение строки 455</w:t>
      </w:r>
      <w:r>
        <w:t xml:space="preserve"> равно сумме значений строк 4</w:t>
      </w:r>
      <w:r>
        <w:t xml:space="preserve">56</w:t>
      </w:r>
      <w:r>
        <w:t xml:space="preserve">–4</w:t>
      </w:r>
      <w:r>
        <w:t xml:space="preserve">64</w:t>
      </w:r>
      <w:r>
        <w:t xml:space="preserve">.</w:t>
      </w:r>
      <w:r/>
    </w:p>
    <w:p>
      <w:pPr>
        <w:pStyle w:val="683"/>
        <w:ind w:firstLine="709"/>
        <w:jc w:val="both"/>
      </w:pPr>
      <w:r>
        <w:t xml:space="preserve">Значение строки 4</w:t>
      </w:r>
      <w:r>
        <w:t xml:space="preserve">65</w:t>
      </w:r>
      <w:r>
        <w:t xml:space="preserve"> равно сумме значений строк 4</w:t>
      </w:r>
      <w:r>
        <w:t xml:space="preserve">66</w:t>
      </w:r>
      <w:r>
        <w:t xml:space="preserve">, </w:t>
      </w:r>
      <w:r>
        <w:t xml:space="preserve">480</w:t>
      </w:r>
      <w:r>
        <w:t xml:space="preserve"> и </w:t>
      </w:r>
      <w:r>
        <w:t xml:space="preserve">499</w:t>
      </w:r>
      <w:r>
        <w:t xml:space="preserve">.</w:t>
      </w:r>
      <w:r/>
    </w:p>
    <w:p>
      <w:pPr>
        <w:pStyle w:val="683"/>
        <w:ind w:firstLine="709"/>
        <w:jc w:val="both"/>
      </w:pPr>
      <w:r>
        <w:t xml:space="preserve">Значение строки </w:t>
      </w:r>
      <w:r>
        <w:t xml:space="preserve">466</w:t>
      </w:r>
      <w:r>
        <w:t xml:space="preserve"> равно сумме значений строк 4</w:t>
      </w:r>
      <w:r>
        <w:t xml:space="preserve">67–479</w:t>
      </w:r>
      <w:r>
        <w:t xml:space="preserve">.</w:t>
      </w:r>
      <w:r/>
    </w:p>
    <w:p>
      <w:pPr>
        <w:pStyle w:val="683"/>
        <w:ind w:firstLine="709"/>
        <w:jc w:val="both"/>
      </w:pPr>
      <w:r>
        <w:t xml:space="preserve">Значение строки </w:t>
      </w:r>
      <w:r>
        <w:t xml:space="preserve">480 равно сумме значений строк 481–49</w:t>
      </w:r>
      <w:r>
        <w:t xml:space="preserve">8.</w:t>
      </w:r>
      <w:r/>
    </w:p>
    <w:p>
      <w:pPr>
        <w:pStyle w:val="683"/>
        <w:ind w:firstLine="709"/>
        <w:jc w:val="both"/>
      </w:pPr>
      <w:r>
        <w:t xml:space="preserve">Значение строки 49</w:t>
      </w:r>
      <w:r>
        <w:t xml:space="preserve">9 равно сумме значений строк </w:t>
      </w:r>
      <w:r>
        <w:t xml:space="preserve">500–</w:t>
      </w:r>
      <w:r>
        <w:t xml:space="preserve">503</w:t>
      </w:r>
      <w:r>
        <w:t xml:space="preserve">.</w:t>
      </w:r>
      <w:r/>
    </w:p>
    <w:p>
      <w:pPr>
        <w:pStyle w:val="683"/>
        <w:ind w:firstLine="709"/>
        <w:jc w:val="both"/>
      </w:pPr>
      <w:r>
        <w:t xml:space="preserve">Значение строки </w:t>
      </w:r>
      <w:r>
        <w:t xml:space="preserve">504</w:t>
      </w:r>
      <w:r>
        <w:t xml:space="preserve"> равно сумме значений строк </w:t>
      </w:r>
      <w:r>
        <w:t xml:space="preserve">505</w:t>
      </w:r>
      <w:r>
        <w:t xml:space="preserve">–</w:t>
      </w:r>
      <w:r>
        <w:t xml:space="preserve">524</w:t>
      </w:r>
      <w:r>
        <w:t xml:space="preserve">.</w:t>
      </w:r>
      <w:r/>
    </w:p>
    <w:p>
      <w:pPr>
        <w:pStyle w:val="683"/>
        <w:ind w:firstLine="709"/>
        <w:jc w:val="both"/>
      </w:pPr>
      <w:r>
        <w:t xml:space="preserve">Значение строки </w:t>
      </w:r>
      <w:r>
        <w:t xml:space="preserve">525 </w:t>
      </w:r>
      <w:r>
        <w:t xml:space="preserve">равно сумме значений строк </w:t>
      </w:r>
      <w:r>
        <w:t xml:space="preserve">526</w:t>
      </w:r>
      <w:r>
        <w:t xml:space="preserve">–</w:t>
      </w:r>
      <w:r>
        <w:t xml:space="preserve">531</w:t>
      </w:r>
      <w:r>
        <w:t xml:space="preserve">.</w:t>
      </w:r>
      <w:r/>
    </w:p>
    <w:p>
      <w:pPr>
        <w:pStyle w:val="683"/>
        <w:ind w:firstLine="709"/>
        <w:jc w:val="both"/>
      </w:pPr>
      <w:r>
        <w:t xml:space="preserve">Значение строки 532 равно сумме значений строк 533–526.</w:t>
      </w:r>
      <w:r/>
    </w:p>
    <w:p>
      <w:pPr>
        <w:pStyle w:val="683"/>
        <w:ind w:firstLine="709"/>
        <w:jc w:val="both"/>
      </w:pPr>
      <w:r>
        <w:t xml:space="preserve">Значение строки 547 равно сумме значений строк 548–581.</w:t>
      </w:r>
      <w:r/>
    </w:p>
    <w:p>
      <w:pPr>
        <w:pStyle w:val="683"/>
        <w:ind w:firstLine="709"/>
        <w:jc w:val="both"/>
      </w:pPr>
      <w:r>
        <w:t xml:space="preserve">4. Следует иметь в виду, что если в форме отсутствует тот или иной показатель, то в соответствующей графе следует поставить прочерк</w:t>
      </w:r>
      <w:r>
        <w:t xml:space="preserve"> (-) </w:t>
      </w:r>
      <w:r>
        <w:t xml:space="preserve">или нулевое значение.</w:t>
      </w:r>
      <w:r/>
    </w:p>
    <w:p>
      <w:pPr>
        <w:pStyle w:val="683"/>
        <w:ind w:firstLine="709"/>
        <w:jc w:val="both"/>
      </w:pPr>
      <w:r>
        <w:t xml:space="preserve">Форма подписывается должностным лицом, ответственным за предоставление административных данных (лицом, уполномоченным предоставлять административные данные от имени респондента) с расшифровкой.</w:t>
      </w:r>
      <w:r/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 w:hint="default"/>
        <w:sz w:val="22"/>
        <w:szCs w:val="22"/>
        <w:lang w:val="ru-RU" w:bidi="ar-SA" w:eastAsia="en-US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34">
    <w:name w:val="Heading 1 Char"/>
    <w:basedOn w:val="661"/>
    <w:link w:val="652"/>
    <w:uiPriority w:val="9"/>
    <w:rPr>
      <w:rFonts w:ascii="Arial" w:hAnsi="Arial" w:cs="Arial" w:eastAsia="Arial"/>
      <w:sz w:val="40"/>
      <w:szCs w:val="40"/>
    </w:rPr>
  </w:style>
  <w:style w:type="character" w:styleId="635">
    <w:name w:val="Heading 2 Char"/>
    <w:basedOn w:val="661"/>
    <w:link w:val="653"/>
    <w:uiPriority w:val="9"/>
    <w:rPr>
      <w:rFonts w:ascii="Arial" w:hAnsi="Arial" w:cs="Arial" w:eastAsia="Arial"/>
      <w:sz w:val="34"/>
    </w:rPr>
  </w:style>
  <w:style w:type="character" w:styleId="636">
    <w:name w:val="Heading 3 Char"/>
    <w:basedOn w:val="661"/>
    <w:link w:val="654"/>
    <w:uiPriority w:val="9"/>
    <w:rPr>
      <w:rFonts w:ascii="Arial" w:hAnsi="Arial" w:cs="Arial" w:eastAsia="Arial"/>
      <w:sz w:val="30"/>
      <w:szCs w:val="30"/>
    </w:rPr>
  </w:style>
  <w:style w:type="character" w:styleId="637">
    <w:name w:val="Heading 4 Char"/>
    <w:basedOn w:val="661"/>
    <w:link w:val="655"/>
    <w:uiPriority w:val="9"/>
    <w:rPr>
      <w:rFonts w:ascii="Arial" w:hAnsi="Arial" w:cs="Arial" w:eastAsia="Arial"/>
      <w:b/>
      <w:bCs/>
      <w:sz w:val="26"/>
      <w:szCs w:val="26"/>
    </w:rPr>
  </w:style>
  <w:style w:type="character" w:styleId="638">
    <w:name w:val="Heading 5 Char"/>
    <w:basedOn w:val="661"/>
    <w:link w:val="656"/>
    <w:uiPriority w:val="9"/>
    <w:rPr>
      <w:rFonts w:ascii="Arial" w:hAnsi="Arial" w:cs="Arial" w:eastAsia="Arial"/>
      <w:b/>
      <w:bCs/>
      <w:sz w:val="24"/>
      <w:szCs w:val="24"/>
    </w:rPr>
  </w:style>
  <w:style w:type="character" w:styleId="639">
    <w:name w:val="Heading 6 Char"/>
    <w:basedOn w:val="661"/>
    <w:link w:val="657"/>
    <w:uiPriority w:val="9"/>
    <w:rPr>
      <w:rFonts w:ascii="Arial" w:hAnsi="Arial" w:cs="Arial" w:eastAsia="Arial"/>
      <w:b/>
      <w:bCs/>
      <w:sz w:val="22"/>
      <w:szCs w:val="22"/>
    </w:rPr>
  </w:style>
  <w:style w:type="character" w:styleId="640">
    <w:name w:val="Heading 7 Char"/>
    <w:basedOn w:val="661"/>
    <w:link w:val="658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641">
    <w:name w:val="Heading 8 Char"/>
    <w:basedOn w:val="661"/>
    <w:link w:val="659"/>
    <w:uiPriority w:val="9"/>
    <w:rPr>
      <w:rFonts w:ascii="Arial" w:hAnsi="Arial" w:cs="Arial" w:eastAsia="Arial"/>
      <w:i/>
      <w:iCs/>
      <w:sz w:val="22"/>
      <w:szCs w:val="22"/>
    </w:rPr>
  </w:style>
  <w:style w:type="character" w:styleId="642">
    <w:name w:val="Heading 9 Char"/>
    <w:basedOn w:val="661"/>
    <w:link w:val="660"/>
    <w:uiPriority w:val="9"/>
    <w:rPr>
      <w:rFonts w:ascii="Arial" w:hAnsi="Arial" w:cs="Arial" w:eastAsia="Arial"/>
      <w:i/>
      <w:iCs/>
      <w:sz w:val="21"/>
      <w:szCs w:val="21"/>
    </w:rPr>
  </w:style>
  <w:style w:type="character" w:styleId="643">
    <w:name w:val="Title Char"/>
    <w:basedOn w:val="661"/>
    <w:link w:val="675"/>
    <w:uiPriority w:val="10"/>
    <w:rPr>
      <w:sz w:val="48"/>
      <w:szCs w:val="48"/>
    </w:rPr>
  </w:style>
  <w:style w:type="character" w:styleId="644">
    <w:name w:val="Subtitle Char"/>
    <w:basedOn w:val="661"/>
    <w:link w:val="677"/>
    <w:uiPriority w:val="11"/>
    <w:rPr>
      <w:sz w:val="24"/>
      <w:szCs w:val="24"/>
    </w:rPr>
  </w:style>
  <w:style w:type="character" w:styleId="645">
    <w:name w:val="Quote Char"/>
    <w:link w:val="679"/>
    <w:uiPriority w:val="29"/>
    <w:rPr>
      <w:i/>
    </w:rPr>
  </w:style>
  <w:style w:type="character" w:styleId="646">
    <w:name w:val="Intense Quote Char"/>
    <w:link w:val="681"/>
    <w:uiPriority w:val="30"/>
    <w:rPr>
      <w:i/>
    </w:rPr>
  </w:style>
  <w:style w:type="character" w:styleId="647">
    <w:name w:val="Header Char"/>
    <w:basedOn w:val="661"/>
    <w:link w:val="683"/>
    <w:uiPriority w:val="99"/>
  </w:style>
  <w:style w:type="character" w:styleId="648">
    <w:name w:val="Caption Char"/>
    <w:basedOn w:val="687"/>
    <w:link w:val="685"/>
    <w:uiPriority w:val="99"/>
  </w:style>
  <w:style w:type="character" w:styleId="649">
    <w:name w:val="Footnote Text Char"/>
    <w:link w:val="814"/>
    <w:uiPriority w:val="99"/>
    <w:rPr>
      <w:sz w:val="18"/>
    </w:rPr>
  </w:style>
  <w:style w:type="character" w:styleId="650">
    <w:name w:val="Endnote Text Char"/>
    <w:link w:val="817"/>
    <w:uiPriority w:val="99"/>
    <w:rPr>
      <w:sz w:val="20"/>
    </w:rPr>
  </w:style>
  <w:style w:type="paragraph" w:styleId="651" w:default="1">
    <w:name w:val="Normal"/>
    <w:qFormat/>
  </w:style>
  <w:style w:type="paragraph" w:styleId="652">
    <w:name w:val="Heading 1"/>
    <w:basedOn w:val="651"/>
    <w:next w:val="651"/>
    <w:link w:val="664"/>
    <w:uiPriority w:val="9"/>
    <w:qFormat/>
    <w:pPr>
      <w:keepLines/>
      <w:keepNext/>
      <w:spacing w:before="480" w:after="200"/>
      <w:outlineLvl w:val="0"/>
    </w:pPr>
    <w:rPr>
      <w:rFonts w:ascii="Arial" w:hAnsi="Arial" w:cs="Arial" w:eastAsia="Arial"/>
      <w:sz w:val="40"/>
      <w:szCs w:val="40"/>
    </w:rPr>
  </w:style>
  <w:style w:type="paragraph" w:styleId="653">
    <w:name w:val="Heading 2"/>
    <w:basedOn w:val="651"/>
    <w:next w:val="651"/>
    <w:link w:val="665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cs="Arial" w:eastAsia="Arial"/>
      <w:sz w:val="34"/>
    </w:rPr>
  </w:style>
  <w:style w:type="paragraph" w:styleId="654">
    <w:name w:val="Heading 3"/>
    <w:basedOn w:val="651"/>
    <w:next w:val="651"/>
    <w:link w:val="666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cs="Arial" w:eastAsia="Arial"/>
      <w:sz w:val="30"/>
      <w:szCs w:val="30"/>
    </w:rPr>
  </w:style>
  <w:style w:type="paragraph" w:styleId="655">
    <w:name w:val="Heading 4"/>
    <w:basedOn w:val="651"/>
    <w:next w:val="651"/>
    <w:link w:val="66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cs="Arial" w:eastAsia="Arial"/>
      <w:b/>
      <w:bCs/>
      <w:sz w:val="26"/>
      <w:szCs w:val="26"/>
    </w:rPr>
  </w:style>
  <w:style w:type="paragraph" w:styleId="656">
    <w:name w:val="Heading 5"/>
    <w:basedOn w:val="651"/>
    <w:next w:val="651"/>
    <w:link w:val="668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cs="Arial" w:eastAsia="Arial"/>
      <w:b/>
      <w:bCs/>
      <w:sz w:val="24"/>
      <w:szCs w:val="24"/>
    </w:rPr>
  </w:style>
  <w:style w:type="paragraph" w:styleId="657">
    <w:name w:val="Heading 6"/>
    <w:basedOn w:val="651"/>
    <w:next w:val="651"/>
    <w:link w:val="669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cs="Arial" w:eastAsia="Arial"/>
      <w:b/>
      <w:bCs/>
    </w:rPr>
  </w:style>
  <w:style w:type="paragraph" w:styleId="658">
    <w:name w:val="Heading 7"/>
    <w:basedOn w:val="651"/>
    <w:next w:val="651"/>
    <w:link w:val="670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cs="Arial" w:eastAsia="Arial"/>
      <w:b/>
      <w:bCs/>
      <w:i/>
      <w:iCs/>
    </w:rPr>
  </w:style>
  <w:style w:type="paragraph" w:styleId="659">
    <w:name w:val="Heading 8"/>
    <w:basedOn w:val="651"/>
    <w:next w:val="651"/>
    <w:link w:val="671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cs="Arial" w:eastAsia="Arial"/>
      <w:i/>
      <w:iCs/>
    </w:rPr>
  </w:style>
  <w:style w:type="paragraph" w:styleId="660">
    <w:name w:val="Heading 9"/>
    <w:basedOn w:val="651"/>
    <w:next w:val="651"/>
    <w:link w:val="672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cs="Arial" w:eastAsia="Arial"/>
      <w:i/>
      <w:iCs/>
      <w:sz w:val="21"/>
      <w:szCs w:val="21"/>
    </w:rPr>
  </w:style>
  <w:style w:type="character" w:styleId="661" w:default="1">
    <w:name w:val="Default Paragraph Font"/>
    <w:uiPriority w:val="1"/>
    <w:semiHidden/>
    <w:unhideWhenUsed/>
  </w:style>
  <w:style w:type="table" w:styleId="66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63" w:default="1">
    <w:name w:val="No List"/>
    <w:uiPriority w:val="99"/>
    <w:semiHidden/>
    <w:unhideWhenUsed/>
  </w:style>
  <w:style w:type="character" w:styleId="664" w:customStyle="1">
    <w:name w:val="Заголовок 1 Знак"/>
    <w:basedOn w:val="661"/>
    <w:link w:val="652"/>
    <w:uiPriority w:val="9"/>
    <w:rPr>
      <w:rFonts w:ascii="Arial" w:hAnsi="Arial" w:cs="Arial" w:eastAsia="Arial"/>
      <w:sz w:val="40"/>
      <w:szCs w:val="40"/>
    </w:rPr>
  </w:style>
  <w:style w:type="character" w:styleId="665" w:customStyle="1">
    <w:name w:val="Заголовок 2 Знак"/>
    <w:basedOn w:val="661"/>
    <w:link w:val="653"/>
    <w:uiPriority w:val="9"/>
    <w:rPr>
      <w:rFonts w:ascii="Arial" w:hAnsi="Arial" w:cs="Arial" w:eastAsia="Arial"/>
      <w:sz w:val="34"/>
    </w:rPr>
  </w:style>
  <w:style w:type="character" w:styleId="666" w:customStyle="1">
    <w:name w:val="Заголовок 3 Знак"/>
    <w:basedOn w:val="661"/>
    <w:link w:val="654"/>
    <w:uiPriority w:val="9"/>
    <w:rPr>
      <w:rFonts w:ascii="Arial" w:hAnsi="Arial" w:cs="Arial" w:eastAsia="Arial"/>
      <w:sz w:val="30"/>
      <w:szCs w:val="30"/>
    </w:rPr>
  </w:style>
  <w:style w:type="character" w:styleId="667" w:customStyle="1">
    <w:name w:val="Заголовок 4 Знак"/>
    <w:basedOn w:val="661"/>
    <w:link w:val="655"/>
    <w:uiPriority w:val="9"/>
    <w:rPr>
      <w:rFonts w:ascii="Arial" w:hAnsi="Arial" w:cs="Arial" w:eastAsia="Arial"/>
      <w:b/>
      <w:bCs/>
      <w:sz w:val="26"/>
      <w:szCs w:val="26"/>
    </w:rPr>
  </w:style>
  <w:style w:type="character" w:styleId="668" w:customStyle="1">
    <w:name w:val="Заголовок 5 Знак"/>
    <w:basedOn w:val="661"/>
    <w:link w:val="656"/>
    <w:uiPriority w:val="9"/>
    <w:rPr>
      <w:rFonts w:ascii="Arial" w:hAnsi="Arial" w:cs="Arial" w:eastAsia="Arial"/>
      <w:b/>
      <w:bCs/>
      <w:sz w:val="24"/>
      <w:szCs w:val="24"/>
    </w:rPr>
  </w:style>
  <w:style w:type="character" w:styleId="669" w:customStyle="1">
    <w:name w:val="Заголовок 6 Знак"/>
    <w:basedOn w:val="661"/>
    <w:link w:val="657"/>
    <w:uiPriority w:val="9"/>
    <w:rPr>
      <w:rFonts w:ascii="Arial" w:hAnsi="Arial" w:cs="Arial" w:eastAsia="Arial"/>
      <w:b/>
      <w:bCs/>
      <w:sz w:val="22"/>
      <w:szCs w:val="22"/>
    </w:rPr>
  </w:style>
  <w:style w:type="character" w:styleId="670" w:customStyle="1">
    <w:name w:val="Заголовок 7 Знак"/>
    <w:basedOn w:val="661"/>
    <w:link w:val="658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671" w:customStyle="1">
    <w:name w:val="Заголовок 8 Знак"/>
    <w:basedOn w:val="661"/>
    <w:link w:val="659"/>
    <w:uiPriority w:val="9"/>
    <w:rPr>
      <w:rFonts w:ascii="Arial" w:hAnsi="Arial" w:cs="Arial" w:eastAsia="Arial"/>
      <w:i/>
      <w:iCs/>
      <w:sz w:val="22"/>
      <w:szCs w:val="22"/>
    </w:rPr>
  </w:style>
  <w:style w:type="character" w:styleId="672" w:customStyle="1">
    <w:name w:val="Заголовок 9 Знак"/>
    <w:basedOn w:val="661"/>
    <w:link w:val="660"/>
    <w:uiPriority w:val="9"/>
    <w:rPr>
      <w:rFonts w:ascii="Arial" w:hAnsi="Arial" w:cs="Arial" w:eastAsia="Arial"/>
      <w:i/>
      <w:iCs/>
      <w:sz w:val="21"/>
      <w:szCs w:val="21"/>
    </w:rPr>
  </w:style>
  <w:style w:type="paragraph" w:styleId="673">
    <w:name w:val="List Paragraph"/>
    <w:basedOn w:val="651"/>
    <w:uiPriority w:val="34"/>
    <w:qFormat/>
    <w:pPr>
      <w:contextualSpacing/>
      <w:ind w:left="720"/>
    </w:pPr>
  </w:style>
  <w:style w:type="paragraph" w:styleId="674">
    <w:name w:val="No Spacing"/>
    <w:uiPriority w:val="1"/>
    <w:qFormat/>
    <w:pPr>
      <w:spacing w:after="0" w:line="240" w:lineRule="auto"/>
    </w:pPr>
  </w:style>
  <w:style w:type="paragraph" w:styleId="675">
    <w:name w:val="Title"/>
    <w:basedOn w:val="651"/>
    <w:next w:val="651"/>
    <w:link w:val="67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6" w:customStyle="1">
    <w:name w:val="Название Знак"/>
    <w:basedOn w:val="661"/>
    <w:link w:val="675"/>
    <w:uiPriority w:val="10"/>
    <w:rPr>
      <w:sz w:val="48"/>
      <w:szCs w:val="48"/>
    </w:rPr>
  </w:style>
  <w:style w:type="paragraph" w:styleId="677">
    <w:name w:val="Subtitle"/>
    <w:basedOn w:val="651"/>
    <w:next w:val="651"/>
    <w:link w:val="678"/>
    <w:uiPriority w:val="11"/>
    <w:qFormat/>
    <w:pPr>
      <w:spacing w:before="200" w:after="200"/>
    </w:pPr>
    <w:rPr>
      <w:sz w:val="24"/>
      <w:szCs w:val="24"/>
    </w:rPr>
  </w:style>
  <w:style w:type="character" w:styleId="678" w:customStyle="1">
    <w:name w:val="Подзаголовок Знак"/>
    <w:basedOn w:val="661"/>
    <w:link w:val="677"/>
    <w:uiPriority w:val="11"/>
    <w:rPr>
      <w:sz w:val="24"/>
      <w:szCs w:val="24"/>
    </w:rPr>
  </w:style>
  <w:style w:type="paragraph" w:styleId="679">
    <w:name w:val="Quote"/>
    <w:basedOn w:val="651"/>
    <w:next w:val="651"/>
    <w:link w:val="680"/>
    <w:uiPriority w:val="29"/>
    <w:qFormat/>
    <w:pPr>
      <w:ind w:left="720" w:right="720"/>
    </w:pPr>
    <w:rPr>
      <w:i/>
    </w:rPr>
  </w:style>
  <w:style w:type="character" w:styleId="680" w:customStyle="1">
    <w:name w:val="Цитата 2 Знак"/>
    <w:link w:val="679"/>
    <w:uiPriority w:val="29"/>
    <w:rPr>
      <w:i/>
    </w:rPr>
  </w:style>
  <w:style w:type="paragraph" w:styleId="681">
    <w:name w:val="Intense Quote"/>
    <w:basedOn w:val="651"/>
    <w:next w:val="651"/>
    <w:link w:val="682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2" w:customStyle="1">
    <w:name w:val="Выделенная цитата Знак"/>
    <w:link w:val="681"/>
    <w:uiPriority w:val="30"/>
    <w:rPr>
      <w:i/>
    </w:rPr>
  </w:style>
  <w:style w:type="paragraph" w:styleId="683">
    <w:name w:val="Header"/>
    <w:basedOn w:val="651"/>
    <w:link w:val="68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4" w:customStyle="1">
    <w:name w:val="Верхний колонтитул Знак"/>
    <w:basedOn w:val="661"/>
    <w:link w:val="683"/>
    <w:uiPriority w:val="99"/>
  </w:style>
  <w:style w:type="paragraph" w:styleId="685">
    <w:name w:val="Footer"/>
    <w:basedOn w:val="651"/>
    <w:link w:val="68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6" w:customStyle="1">
    <w:name w:val="Footer Char"/>
    <w:basedOn w:val="661"/>
    <w:uiPriority w:val="99"/>
  </w:style>
  <w:style w:type="paragraph" w:styleId="687">
    <w:name w:val="Caption"/>
    <w:basedOn w:val="651"/>
    <w:next w:val="651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688" w:customStyle="1">
    <w:name w:val="Нижний колонтитул Знак"/>
    <w:link w:val="685"/>
    <w:uiPriority w:val="99"/>
  </w:style>
  <w:style w:type="table" w:styleId="689" w:customStyle="1">
    <w:name w:val="Table Grid Light"/>
    <w:basedOn w:val="662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690">
    <w:name w:val="Plain Table 1"/>
    <w:basedOn w:val="662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1">
    <w:name w:val="Plain Table 2"/>
    <w:basedOn w:val="662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2">
    <w:name w:val="Plain Table 3"/>
    <w:basedOn w:val="66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3">
    <w:name w:val="Plain Table 4"/>
    <w:basedOn w:val="66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Plain Table 5"/>
    <w:basedOn w:val="66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5">
    <w:name w:val="Grid Table 1 Light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 w:customStyle="1">
    <w:name w:val="Grid Table 1 Light - Accent 1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 w:customStyle="1">
    <w:name w:val="Grid Table 1 Light - Accent 2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 w:customStyle="1">
    <w:name w:val="Grid Table 1 Light - Accent 3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 w:customStyle="1">
    <w:name w:val="Grid Table 1 Light - Accent 4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 w:customStyle="1">
    <w:name w:val="Grid Table 1 Light - Accent 5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 w:customStyle="1">
    <w:name w:val="Grid Table 1 Light - Accent 6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2"/>
    <w:basedOn w:val="66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 w:customStyle="1">
    <w:name w:val="Grid Table 2 - Accent 1"/>
    <w:basedOn w:val="66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 w:customStyle="1">
    <w:name w:val="Grid Table 2 - Accent 2"/>
    <w:basedOn w:val="66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 w:customStyle="1">
    <w:name w:val="Grid Table 2 - Accent 3"/>
    <w:basedOn w:val="66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 w:customStyle="1">
    <w:name w:val="Grid Table 2 - Accent 4"/>
    <w:basedOn w:val="66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 w:customStyle="1">
    <w:name w:val="Grid Table 2 - Accent 5"/>
    <w:basedOn w:val="66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 w:customStyle="1">
    <w:name w:val="Grid Table 2 - Accent 6"/>
    <w:basedOn w:val="66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"/>
    <w:basedOn w:val="66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 w:customStyle="1">
    <w:name w:val="Grid Table 3 - Accent 1"/>
    <w:basedOn w:val="66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 w:customStyle="1">
    <w:name w:val="Grid Table 3 - Accent 2"/>
    <w:basedOn w:val="66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 w:customStyle="1">
    <w:name w:val="Grid Table 3 - Accent 3"/>
    <w:basedOn w:val="66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 w:customStyle="1">
    <w:name w:val="Grid Table 3 - Accent 4"/>
    <w:basedOn w:val="66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 w:customStyle="1">
    <w:name w:val="Grid Table 3 - Accent 5"/>
    <w:basedOn w:val="66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 w:customStyle="1">
    <w:name w:val="Grid Table 3 - Accent 6"/>
    <w:basedOn w:val="66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4"/>
    <w:basedOn w:val="662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7" w:customStyle="1">
    <w:name w:val="Grid Table 4 - Accent 1"/>
    <w:basedOn w:val="662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18" w:customStyle="1">
    <w:name w:val="Grid Table 4 - Accent 2"/>
    <w:basedOn w:val="662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19" w:customStyle="1">
    <w:name w:val="Grid Table 4 - Accent 3"/>
    <w:basedOn w:val="662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20" w:customStyle="1">
    <w:name w:val="Grid Table 4 - Accent 4"/>
    <w:basedOn w:val="662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721" w:customStyle="1">
    <w:name w:val="Grid Table 4 - Accent 5"/>
    <w:basedOn w:val="662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722" w:customStyle="1">
    <w:name w:val="Grid Table 4 - Accent 6"/>
    <w:basedOn w:val="662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723">
    <w:name w:val="Grid Table 5 Dark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24" w:customStyle="1">
    <w:name w:val="Grid Table 5 Dark- Accent 1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725" w:customStyle="1">
    <w:name w:val="Grid Table 5 Dark - Accent 2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726" w:customStyle="1">
    <w:name w:val="Grid Table 5 Dark - Accent 3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727" w:customStyle="1">
    <w:name w:val="Grid Table 5 Dark- Accent 4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728" w:customStyle="1">
    <w:name w:val="Grid Table 5 Dark - Accent 5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729" w:customStyle="1">
    <w:name w:val="Grid Table 5 Dark - Accent 6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730">
    <w:name w:val="Grid Table 6 Colorful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31" w:customStyle="1">
    <w:name w:val="Grid Table 6 Colorful - Accent 1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732" w:customStyle="1">
    <w:name w:val="Grid Table 6 Colorful - Accent 2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733" w:customStyle="1">
    <w:name w:val="Grid Table 6 Colorful - Accent 3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734" w:customStyle="1">
    <w:name w:val="Grid Table 6 Colorful - Accent 4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735" w:customStyle="1">
    <w:name w:val="Grid Table 6 Colorful - Accent 5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36" w:customStyle="1">
    <w:name w:val="Grid Table 6 Colorful - Accent 6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37">
    <w:name w:val="Grid Table 7 Colorful"/>
    <w:basedOn w:val="66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 w:customStyle="1">
    <w:name w:val="Grid Table 7 Colorful - Accent 1"/>
    <w:basedOn w:val="66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 w:customStyle="1">
    <w:name w:val="Grid Table 7 Colorful - Accent 2"/>
    <w:basedOn w:val="66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 w:customStyle="1">
    <w:name w:val="Grid Table 7 Colorful - Accent 3"/>
    <w:basedOn w:val="66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 w:customStyle="1">
    <w:name w:val="Grid Table 7 Colorful - Accent 4"/>
    <w:basedOn w:val="66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 w:customStyle="1">
    <w:name w:val="Grid Table 7 Colorful - Accent 5"/>
    <w:basedOn w:val="66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 w:customStyle="1">
    <w:name w:val="Grid Table 7 Colorful - Accent 6"/>
    <w:basedOn w:val="66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"/>
    <w:basedOn w:val="66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 w:customStyle="1">
    <w:name w:val="List Table 1 Light - Accent 1"/>
    <w:basedOn w:val="66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 w:customStyle="1">
    <w:name w:val="List Table 1 Light - Accent 2"/>
    <w:basedOn w:val="66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 w:customStyle="1">
    <w:name w:val="List Table 1 Light - Accent 3"/>
    <w:basedOn w:val="66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 w:customStyle="1">
    <w:name w:val="List Table 1 Light - Accent 4"/>
    <w:basedOn w:val="66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 w:customStyle="1">
    <w:name w:val="List Table 1 Light - Accent 5"/>
    <w:basedOn w:val="66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 w:customStyle="1">
    <w:name w:val="List Table 1 Light - Accent 6"/>
    <w:basedOn w:val="66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2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52" w:customStyle="1">
    <w:name w:val="List Table 2 - Accent 1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753" w:customStyle="1">
    <w:name w:val="List Table 2 - Accent 2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754" w:customStyle="1">
    <w:name w:val="List Table 2 - Accent 3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755" w:customStyle="1">
    <w:name w:val="List Table 2 - Accent 4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756" w:customStyle="1">
    <w:name w:val="List Table 2 - Accent 5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757" w:customStyle="1">
    <w:name w:val="List Table 2 - Accent 6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758">
    <w:name w:val="List Table 3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 w:customStyle="1">
    <w:name w:val="List Table 3 - Accent 1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 w:customStyle="1">
    <w:name w:val="List Table 3 - Accent 2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 w:customStyle="1">
    <w:name w:val="List Table 3 - Accent 3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 w:customStyle="1">
    <w:name w:val="List Table 3 - Accent 4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 w:customStyle="1">
    <w:name w:val="List Table 3 - Accent 5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 w:customStyle="1">
    <w:name w:val="List Table 3 - Accent 6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 w:customStyle="1">
    <w:name w:val="List Table 4 - Accent 1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 w:customStyle="1">
    <w:name w:val="List Table 4 - Accent 2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 w:customStyle="1">
    <w:name w:val="List Table 4 - Accent 3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 w:customStyle="1">
    <w:name w:val="List Table 4 - Accent 4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 w:customStyle="1">
    <w:name w:val="List Table 4 - Accent 5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 w:customStyle="1">
    <w:name w:val="List Table 4 - Accent 6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5 Dark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73" w:customStyle="1">
    <w:name w:val="List Table 5 Dark - Accent 1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74" w:customStyle="1">
    <w:name w:val="List Table 5 Dark - Accent 2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75" w:customStyle="1">
    <w:name w:val="List Table 5 Dark - Accent 3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76" w:customStyle="1">
    <w:name w:val="List Table 5 Dark - Accent 4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77" w:customStyle="1">
    <w:name w:val="List Table 5 Dark - Accent 5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78" w:customStyle="1">
    <w:name w:val="List Table 5 Dark - Accent 6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79">
    <w:name w:val="List Table 6 Colorful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780" w:customStyle="1">
    <w:name w:val="List Table 6 Colorful - Accent 1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781" w:customStyle="1">
    <w:name w:val="List Table 6 Colorful - Accent 2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782" w:customStyle="1">
    <w:name w:val="List Table 6 Colorful - Accent 3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783" w:customStyle="1">
    <w:name w:val="List Table 6 Colorful - Accent 4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784" w:customStyle="1">
    <w:name w:val="List Table 6 Colorful - Accent 5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785" w:customStyle="1">
    <w:name w:val="List Table 6 Colorful - Accent 6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786">
    <w:name w:val="List Table 7 Colorful"/>
    <w:basedOn w:val="66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List Table 7 Colorful - Accent 1"/>
    <w:basedOn w:val="66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 w:customStyle="1">
    <w:name w:val="List Table 7 Colorful - Accent 2"/>
    <w:basedOn w:val="66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List Table 7 Colorful - Accent 3"/>
    <w:basedOn w:val="66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List Table 7 Colorful - Accent 4"/>
    <w:basedOn w:val="66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List Table 7 Colorful - Accent 5"/>
    <w:basedOn w:val="66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List Table 7 Colorful - Accent 6"/>
    <w:basedOn w:val="66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Lined - Accent"/>
    <w:basedOn w:val="66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794" w:customStyle="1">
    <w:name w:val="Lined - Accent 1"/>
    <w:basedOn w:val="66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795" w:customStyle="1">
    <w:name w:val="Lined - Accent 2"/>
    <w:basedOn w:val="66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796" w:customStyle="1">
    <w:name w:val="Lined - Accent 3"/>
    <w:basedOn w:val="66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797" w:customStyle="1">
    <w:name w:val="Lined - Accent 4"/>
    <w:basedOn w:val="66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798" w:customStyle="1">
    <w:name w:val="Lined - Accent 5"/>
    <w:basedOn w:val="66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799" w:customStyle="1">
    <w:name w:val="Lined - Accent 6"/>
    <w:basedOn w:val="66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00" w:customStyle="1">
    <w:name w:val="Bordered &amp; Lined - Accent"/>
    <w:basedOn w:val="66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01" w:customStyle="1">
    <w:name w:val="Bordered &amp; Lined - Accent 1"/>
    <w:basedOn w:val="66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02" w:customStyle="1">
    <w:name w:val="Bordered &amp; Lined - Accent 2"/>
    <w:basedOn w:val="66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03" w:customStyle="1">
    <w:name w:val="Bordered &amp; Lined - Accent 3"/>
    <w:basedOn w:val="66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04" w:customStyle="1">
    <w:name w:val="Bordered &amp; Lined - Accent 4"/>
    <w:basedOn w:val="66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05" w:customStyle="1">
    <w:name w:val="Bordered &amp; Lined - Accent 5"/>
    <w:basedOn w:val="66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06" w:customStyle="1">
    <w:name w:val="Bordered &amp; Lined - Accent 6"/>
    <w:basedOn w:val="66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07" w:customStyle="1">
    <w:name w:val="Bordered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08" w:customStyle="1">
    <w:name w:val="Bordered - Accent 1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09" w:customStyle="1">
    <w:name w:val="Bordered - Accent 2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10" w:customStyle="1">
    <w:name w:val="Bordered - Accent 3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11" w:customStyle="1">
    <w:name w:val="Bordered - Accent 4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12" w:customStyle="1">
    <w:name w:val="Bordered - Accent 5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13" w:customStyle="1">
    <w:name w:val="Bordered - Accent 6"/>
    <w:basedOn w:val="662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paragraph" w:styleId="814">
    <w:name w:val="footnote text"/>
    <w:basedOn w:val="651"/>
    <w:link w:val="815"/>
    <w:uiPriority w:val="99"/>
    <w:semiHidden/>
    <w:unhideWhenUsed/>
    <w:pPr>
      <w:spacing w:after="40" w:line="240" w:lineRule="auto"/>
    </w:pPr>
    <w:rPr>
      <w:sz w:val="18"/>
    </w:rPr>
  </w:style>
  <w:style w:type="character" w:styleId="815" w:customStyle="1">
    <w:name w:val="Текст сноски Знак"/>
    <w:link w:val="814"/>
    <w:uiPriority w:val="99"/>
    <w:rPr>
      <w:sz w:val="18"/>
    </w:rPr>
  </w:style>
  <w:style w:type="character" w:styleId="816">
    <w:name w:val="footnote reference"/>
    <w:basedOn w:val="661"/>
    <w:uiPriority w:val="99"/>
    <w:unhideWhenUsed/>
    <w:rPr>
      <w:vertAlign w:val="superscript"/>
    </w:rPr>
  </w:style>
  <w:style w:type="paragraph" w:styleId="817">
    <w:name w:val="endnote text"/>
    <w:basedOn w:val="651"/>
    <w:link w:val="818"/>
    <w:uiPriority w:val="99"/>
    <w:semiHidden/>
    <w:unhideWhenUsed/>
    <w:pPr>
      <w:spacing w:after="0" w:line="240" w:lineRule="auto"/>
    </w:pPr>
    <w:rPr>
      <w:sz w:val="20"/>
    </w:rPr>
  </w:style>
  <w:style w:type="character" w:styleId="818" w:customStyle="1">
    <w:name w:val="Текст концевой сноски Знак"/>
    <w:link w:val="817"/>
    <w:uiPriority w:val="99"/>
    <w:rPr>
      <w:sz w:val="20"/>
    </w:rPr>
  </w:style>
  <w:style w:type="character" w:styleId="819">
    <w:name w:val="endnote reference"/>
    <w:basedOn w:val="661"/>
    <w:uiPriority w:val="99"/>
    <w:semiHidden/>
    <w:unhideWhenUsed/>
    <w:rPr>
      <w:vertAlign w:val="superscript"/>
    </w:rPr>
  </w:style>
  <w:style w:type="paragraph" w:styleId="820">
    <w:name w:val="toc 1"/>
    <w:basedOn w:val="651"/>
    <w:next w:val="651"/>
    <w:uiPriority w:val="39"/>
    <w:unhideWhenUsed/>
    <w:pPr>
      <w:spacing w:after="57"/>
    </w:pPr>
  </w:style>
  <w:style w:type="paragraph" w:styleId="821">
    <w:name w:val="toc 2"/>
    <w:basedOn w:val="651"/>
    <w:next w:val="651"/>
    <w:uiPriority w:val="39"/>
    <w:unhideWhenUsed/>
    <w:pPr>
      <w:ind w:left="283"/>
      <w:spacing w:after="57"/>
    </w:pPr>
  </w:style>
  <w:style w:type="paragraph" w:styleId="822">
    <w:name w:val="toc 3"/>
    <w:basedOn w:val="651"/>
    <w:next w:val="651"/>
    <w:uiPriority w:val="39"/>
    <w:unhideWhenUsed/>
    <w:pPr>
      <w:ind w:left="567"/>
      <w:spacing w:after="57"/>
    </w:pPr>
  </w:style>
  <w:style w:type="paragraph" w:styleId="823">
    <w:name w:val="toc 4"/>
    <w:basedOn w:val="651"/>
    <w:next w:val="651"/>
    <w:uiPriority w:val="39"/>
    <w:unhideWhenUsed/>
    <w:pPr>
      <w:ind w:left="850"/>
      <w:spacing w:after="57"/>
    </w:pPr>
  </w:style>
  <w:style w:type="paragraph" w:styleId="824">
    <w:name w:val="toc 5"/>
    <w:basedOn w:val="651"/>
    <w:next w:val="651"/>
    <w:uiPriority w:val="39"/>
    <w:unhideWhenUsed/>
    <w:pPr>
      <w:ind w:left="1134"/>
      <w:spacing w:after="57"/>
    </w:pPr>
  </w:style>
  <w:style w:type="paragraph" w:styleId="825">
    <w:name w:val="toc 6"/>
    <w:basedOn w:val="651"/>
    <w:next w:val="651"/>
    <w:uiPriority w:val="39"/>
    <w:unhideWhenUsed/>
    <w:pPr>
      <w:ind w:left="1417"/>
      <w:spacing w:after="57"/>
    </w:pPr>
  </w:style>
  <w:style w:type="paragraph" w:styleId="826">
    <w:name w:val="toc 7"/>
    <w:basedOn w:val="651"/>
    <w:next w:val="651"/>
    <w:uiPriority w:val="39"/>
    <w:unhideWhenUsed/>
    <w:pPr>
      <w:ind w:left="1701"/>
      <w:spacing w:after="57"/>
    </w:pPr>
  </w:style>
  <w:style w:type="paragraph" w:styleId="827">
    <w:name w:val="toc 8"/>
    <w:basedOn w:val="651"/>
    <w:next w:val="651"/>
    <w:uiPriority w:val="39"/>
    <w:unhideWhenUsed/>
    <w:pPr>
      <w:ind w:left="1984"/>
      <w:spacing w:after="57"/>
    </w:pPr>
  </w:style>
  <w:style w:type="paragraph" w:styleId="828">
    <w:name w:val="toc 9"/>
    <w:basedOn w:val="651"/>
    <w:next w:val="651"/>
    <w:uiPriority w:val="39"/>
    <w:unhideWhenUsed/>
    <w:pPr>
      <w:ind w:left="2268"/>
      <w:spacing w:after="57"/>
    </w:pPr>
  </w:style>
  <w:style w:type="paragraph" w:styleId="829">
    <w:name w:val="TOC Heading"/>
    <w:uiPriority w:val="39"/>
    <w:unhideWhenUsed/>
  </w:style>
  <w:style w:type="paragraph" w:styleId="830">
    <w:name w:val="table of figures"/>
    <w:basedOn w:val="651"/>
    <w:next w:val="651"/>
    <w:uiPriority w:val="99"/>
    <w:unhideWhenUsed/>
    <w:pPr>
      <w:spacing w:after="0"/>
    </w:pPr>
  </w:style>
  <w:style w:type="table" w:styleId="831">
    <w:name w:val="Table Grid"/>
    <w:basedOn w:val="662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32">
    <w:name w:val="Hyperlink"/>
    <w:basedOn w:val="661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Р7-Офис/7.0.2.5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Мережко Наталия Олеговна</dc:creator>
  <cp:keywords/>
  <dc:description/>
  <cp:revision>16</cp:revision>
  <dcterms:created xsi:type="dcterms:W3CDTF">2021-08-16T12:07:00Z</dcterms:created>
  <dcterms:modified xsi:type="dcterms:W3CDTF">2024-02-15T04:43:54Z</dcterms:modified>
</cp:coreProperties>
</file>