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9745" cy="66421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99745" cy="66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59" w:line="1" w:lineRule="exact"/>
      </w:pPr>
    </w:p>
    <w:p>
      <w:pPr>
        <w:pStyle w:val="Style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</w:t>
        <w:br/>
        <w:t>СОЦИАЛЬНОЙ ЗАЩИТЫ НАСЕЛЕНИЯ</w:t>
      </w:r>
      <w:bookmarkEnd w:id="0"/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ЯМАЛО-НЕНЕЦКОГО АВТОНОМНОГО ОКРУГА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ул. Подшибякина, д. 15, г. Салехард, Ямало-Ненецкий автономный округ, 629008</w:t>
        <w:br/>
        <w:t xml:space="preserve">Телефон: (34922) 99493 доб. (343), </w:t>
      </w:r>
      <w:r>
        <w:rPr>
          <w:color w:val="5D5D6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rPr>
          <w:color w:val="5D5D60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DsznOyanao.ru</w:t>
      </w:r>
      <w:r>
        <w:rPr>
          <w:color w:val="5D5D6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сайт: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https.</w:t>
      </w:r>
      <w:r>
        <w:rPr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dszn.yanao.ru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1220" w:right="0" w:firstLine="0"/>
        <w:jc w:val="left"/>
        <w:rPr>
          <w:sz w:val="24"/>
          <w:szCs w:val="24"/>
        </w:rPr>
      </w:pPr>
      <w:r>
        <w:rPr>
          <w:i/>
          <w:iCs/>
          <w:color w:val="5D5D6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ru-RU" w:eastAsia="ru-RU" w:bidi="ru-RU"/>
        </w:rPr>
        <w:t>■ О 2</w:t>
      </w:r>
      <w:r>
        <w:rPr>
          <w:color w:val="5D5D6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434343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20^&lt;r. </w:t>
      </w:r>
      <w:r>
        <w:rPr>
          <w:color w:val="434343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№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24"/>
          <w:szCs w:val="24"/>
        </w:rPr>
      </w:pPr>
      <w:r>
        <w:rPr>
          <w:color w:val="434343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На №от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5380" w:right="0" w:firstLine="0"/>
        <w:jc w:val="left"/>
      </w:pPr>
      <w:r>
        <w:rPr>
          <w:color w:val="434343"/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С.В.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5380" w:right="0" w:firstLine="0"/>
        <w:jc w:val="left"/>
      </w:pPr>
      <w:r>
        <w:rPr>
          <w:color w:val="434343"/>
          <w:spacing w:val="0"/>
          <w:w w:val="100"/>
          <w:position w:val="0"/>
          <w:shd w:val="clear" w:color="auto" w:fill="auto"/>
          <w:lang w:val="ru-RU" w:eastAsia="ru-RU" w:bidi="ru-RU"/>
        </w:rPr>
        <w:t>Лопаковой Н.Ф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40" w:line="254" w:lineRule="auto"/>
        <w:ind w:left="5380" w:right="0" w:firstLine="0"/>
        <w:jc w:val="left"/>
      </w:pPr>
      <w:r>
        <w:rPr>
          <w:color w:val="434343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ул. Рабочая, Д.109-Б, кв.4, г.Ноябрьск, ЯНАО, 629800 </w:t>
      </w:r>
      <w:r>
        <w:rPr>
          <w:color w:val="5D5D60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taganai89(a)</w:t>
      </w:r>
      <w:r>
        <w:rPr>
          <w:color w:val="5D5D60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yandex.ru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Уважаемая Наталия Федоровна!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Рассмотрев Ваши обращения, поступившие в адрес Правительства Ямало-Ненецкого автономного округа (далее </w:t>
      </w:r>
      <w:r>
        <w:rPr>
          <w:color w:val="434343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автономный округ) из Прокуратуры автономного округа в части, касающейся департамента социальной защиты населения автономный округ, сообщаю следующее.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0" w:right="0" w:firstLine="72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конструктивного взаимодействия с департаментом социальной защиты населения автономного округа.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Департамент социальной защиты населения автономного округа (далее </w:t>
      </w:r>
      <w:r>
        <w:rPr>
          <w:color w:val="434343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департамент) на постоянной основе осуществляет взаимодействие с негосударственными поставщиками социальных услуг, в том числе путем проведения консультаций и информирования о порядках предоставления социальных услуг и субсидий в целях компенсации расходов за оказанные услуги, в круглосуточном режиме функционирует чат-группа в мессенджерах.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При департаменте осуществляет деятельность общественный совет, в который включены 3 представителя от негосударственных поставщиков услуг.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26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Все изменения законодательства в сфере социального обслуживания, касающиеся деятельности негосударственных поставщиков услуг, в обязательном порядке проходят оценку регулирующего и фактического воздействия в соответствии с федеральными требованиями.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приостановления действия постановления Правительства автономного округа от 27.12.2024 № 774-П «О внесении изменений в некоторые постановления Правительства Ямало-Ненецкого автономного округа» до согласования изменений с поставщиками социальных услуг и до обеспечения технического выполнения этих изменений.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Приостановление действия постановления Правительства автономного округа от 27.12.2024 № 774-П «О внесении изменений в некоторые постановления Правительства автономного округа» (далее - изменения) не планируется.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Изменения приняты в целях приведения порядков предоставления субсидий негосударственным поставщикам услуг в соответствие общим требованиям к нормативным правовым актам, регулирующим предоставление субсидий, в том числе грантов в форме субсидий, утвержденным постановлением Правительства Российской Федерации от 25.10.2023 № 1782.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период с 12.04.2024 по 25.04.2024 указанные изменения были размещены на сайте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orv.yanao.ru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и проходили процедуру публичного обсуждения (публичных консультаций), о чем поставщики социальных услуг были уведомлены.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Таким образом, поставщики социальных услуг имели возможность выразить свою позицию в отношении принимаемых норм, а также направить свои предложения в департамент.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Вступившие в силу изменения в порядок предоставления социальных услуг по перевозке на социальном такси не нарушают права инвалидов на пользование услугой, а наоборот улучшает их оказание данной категории граждан.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 частности уточнены категории получателей услуг социального такси и увеличен перечень социально значимых объектов, возможных для следования на социальном такси, в который включены вокзалы (аэровокзалы) на территории муниципального образования.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Инвалиды с утратой способности к передвижению, граждане старше 75 лет, а также с ментальными особенностями теперь могут в 2 раза больше осуществлять бесплатные поездки, объем увеличился с 48 до 96 раз в году.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Работающие граждане на креслах-колясках дополнительно могут воспользоваться бесплатными поездками до 2 раз в день. С 01.02.2025 в государственной информационной системе Единая карта жителя Ямала предусмотрена техническая возможность по подтверждению оказания услуг «социального такси» более 1 услуги в день.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Региональной корпоративной общественной организации инвалидов «Центр информационной поддержки «Таганай» и индивидуальному предпринимателю Лопаковой Н.Ф., осуществляющих в г. Ноябрьск перевозки на социальном такси в рамках их проекта «Дорога добра», из окружного бюджета предоставлена финансовая поддержка в 2024 году в размере более 18 млн рублей.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Все обязательства департамента в рамках работы службы «Социального такси» выполняются.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72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компенсирования департаментом социальной защиты населения автономного округа расходов по оказанию социальных услуг населению поставщиками социальных услуг за январь 2025 года на условиях соглашения 2024 года.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Информируем, что компенсация понесенных поставщиками расходов за январь 2025 года будет осуществляться по тарифу на услугу «социальное такси», утвержденному приказом департамента от 25.12.2024 № 202-ОД, в объеме 1 услуги (к объекту и обратно), то есть за 2 поездки.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2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Обращаем Ваше внимание, что вышеуказанный механизм расчета размера субсидии будет применятся только в отношении поставщиков, осуществлявших перевозку на специализированном транспорте. Поставщикам, оказывающим услугу «социальное такси» на неспециализированном транспорте, субсидия за оказанные услуги начиная с января 2025 года не предоставляется.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заключения соглашения о компенсациях на 2025 год.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Субсидии поставщикам срочных социальных услуг, в том числе услуг «социальное такси», предоставляются в соответствии с Порядком предоставления субсидий из окружного бюджета поставщикам социальных услуг, которые включены в реестр поставщиков социальных услуг в автономном округе, но не участвуют в выполнении государственного задания (заказа), связанных с предоставлением социальных услуг, утвержденным постановлением Правительства автономного округа от 25.06.2021 № 557-П (далее - Порядок).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Согласно Порядку деятельность по предоставлению субсидий из окружного бюджета поставщикам социальных услуг осуществляет государственное казенное учреждение «Центр социальных технологий Ямало-Ненецкого автономного округа» (далее - уполномоченная организация).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Отбор поставщиков социальных услуг для предоставления субсидий осуществляется уполномоченной организацией не позднее 25 декабря года, предшествующего году, в котором заключается соглашение (пункт 3.1 Порядка).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После прохождения отбора поставщики социальных услуг в соответствии со сроками, установленными пунктом 4.5 Порядка, заключают с уполномоченной организацией соглашение о предоставлении субсидии.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По информации уполномоченной организации соглашения о предоставлении субсидий на 2025 год заключены с: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индивидуальным предпринимателем Лопаковой Н.Ф. от 17.01.2025 № 11-25 (срочная услуга «социальное такси»), от 27.01.2025 № 48-25 (в полустационарной форме социального обслуживания), от 27.01.2025 № 49-25 (в форме социального обслуживания на дому);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региональной корпоративной общественной организацией инвалидов «Центр информационной поддержки «Таганай» от 17.01.2025 № 22-25 (срочная услуга «социальное такси»), от 24.01.2025 № 40-25 (в полустационарной форме социального обслуживания).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b/>
          <w:bCs/>
          <w:i/>
          <w:iCs/>
          <w:spacing w:val="0"/>
          <w:w w:val="100"/>
          <w:position w:val="0"/>
          <w:shd w:val="clear" w:color="auto" w:fill="auto"/>
          <w:lang w:val="ru-RU" w:eastAsia="ru-RU" w:bidi="ru-RU"/>
        </w:rPr>
        <w:t>По вопросу проверки финансово-экономического обоснования тарифов на социальное такси от поставщика социальных услуг и расчета от департамента социальной защиты населения, а также утверждения тарифа на поездку в 1 сторону 2621,86 руб/услуга.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Департамент не наделен полномочиями по проверке расчетов и утверждению тарифов в отношении негосударственных поставщиков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социальных услуг.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Вместе с тем отмечаем, что негосударственные поставщики услуг имеют разную материально-техническую базу, разный кадровый состав, разную территориальную принадлежность и, таким образом, несут разные по объему затраты при оказании одной и той же услуги. Соответственно, устанавливать тариф в размере 2621,86 руб./услуга на основании представленных расчетов одного поставщика в целом на весь автономный округ является нецелесообразным.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Тарифы на социальные услуги, предоставляемые гражданам на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территории автономного округа, установлены на основании подушевых нормативов финансирования социальных услуг, рассчитанных в соответствии с утвержденной методикой (постановление Правительства автономного округа от 25.02.2016 № 152-П) исходя из прямых и косвенных расходов организаций социального обслуживания, находящихся в ведении автономного округа, а также плановой численности получателей социальных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услуг.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целях улучшения качества работы Департамента просим Вас заполнить анкету об удовлетворенности рассмотрения обращения граждан по ссылке </w:t>
      </w:r>
      <w:r>
        <w:fldChar w:fldCharType="begin"/>
      </w:r>
      <w:r>
        <w:rPr/>
        <w:instrText> HYPERLINK "https://dszn.yanao.ru/forms/1703cc2e-fl0f-4f64-bl06-19a0c46dl57e/" </w:instrText>
      </w:r>
      <w:r>
        <w:fldChar w:fldCharType="separate"/>
      </w:r>
      <w:r>
        <w:rPr>
          <w:color w:val="5D5D60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https://dszn.yanao.ru/forms/1703cc2e-fl0f-4f64-bl06-19a0c46dl57e/</w:t>
      </w:r>
      <w:r>
        <w:fldChar w:fldCharType="end"/>
      </w:r>
      <w:r>
        <w:rPr>
          <w:color w:val="5D5D60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548640" distB="2685415" distL="0" distR="0" simplePos="0" relativeHeight="125829378" behindDoc="0" locked="0" layoutInCell="1" allowOverlap="1">
                <wp:simplePos x="0" y="0"/>
                <wp:positionH relativeFrom="page">
                  <wp:posOffset>887095</wp:posOffset>
                </wp:positionH>
                <wp:positionV relativeFrom="paragraph">
                  <wp:posOffset>548640</wp:posOffset>
                </wp:positionV>
                <wp:extent cx="1969135" cy="210185"/>
                <wp:wrapTopAndBottom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69135" cy="210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Директор департамента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69.850000000000009pt;margin-top:43.200000000000003pt;width:155.05000000000001pt;height:16.550000000000001pt;z-index:-125829375;mso-wrap-distance-left:0;mso-wrap-distance-top:43.200000000000003pt;mso-wrap-distance-right:0;mso-wrap-distance-bottom:211.45000000000002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департамента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0" distB="2249170" distL="0" distR="1475105" simplePos="0" relativeHeight="125829380" behindDoc="0" locked="0" layoutInCell="1" allowOverlap="1">
            <wp:simplePos x="0" y="0"/>
            <wp:positionH relativeFrom="page">
              <wp:posOffset>3834765</wp:posOffset>
            </wp:positionH>
            <wp:positionV relativeFrom="paragraph">
              <wp:posOffset>0</wp:posOffset>
            </wp:positionV>
            <wp:extent cx="1822450" cy="1195070"/>
            <wp:wrapTopAndBottom/>
            <wp:docPr id="4" name="Shap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box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822450" cy="11950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5797550</wp:posOffset>
                </wp:positionH>
                <wp:positionV relativeFrom="paragraph">
                  <wp:posOffset>563880</wp:posOffset>
                </wp:positionV>
                <wp:extent cx="1332230" cy="210185"/>
                <wp:wrapNone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32230" cy="210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О.П. Медынская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456.5pt;margin-top:44.399999999999999pt;width:104.90000000000001pt;height:16.55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О.П. Медынская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499360" distB="0" distL="0" distR="0" simplePos="0" relativeHeight="125829381" behindDoc="0" locked="0" layoutInCell="1" allowOverlap="1">
            <wp:simplePos x="0" y="0"/>
            <wp:positionH relativeFrom="page">
              <wp:posOffset>6229985</wp:posOffset>
            </wp:positionH>
            <wp:positionV relativeFrom="paragraph">
              <wp:posOffset>2499360</wp:posOffset>
            </wp:positionV>
            <wp:extent cx="944880" cy="944880"/>
            <wp:wrapTopAndBottom/>
            <wp:docPr id="8" name="Shap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box 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944880" cy="944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Баязитов Эдуард Камильевич, начальник отдела социального обслуживания граждан, 8 (34922) 99-4-93 доп.313</w:t>
      </w:r>
    </w:p>
    <w:p>
      <w:pPr>
        <w:pStyle w:val="Style22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Гусева Мария Анатольевна, заместитель начальника финансово-экономического управления, 8 (34922) 99-4-93 доп.303</w:t>
      </w:r>
    </w:p>
    <w:sectPr>
      <w:headerReference w:type="default" r:id="rId11"/>
      <w:headerReference w:type="first" r:id="rId12"/>
      <w:footnotePr>
        <w:pos w:val="pageBottom"/>
        <w:numFmt w:val="decimal"/>
        <w:numRestart w:val="continuous"/>
      </w:footnotePr>
      <w:pgSz w:w="11900" w:h="16840"/>
      <w:pgMar w:top="1173" w:right="379" w:bottom="988" w:left="1243" w:header="0" w:footer="3" w:gutter="0"/>
      <w:pgNumType w:start="1"/>
      <w:cols w:space="720"/>
      <w:noEndnote/>
      <w:titlePg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4003675</wp:posOffset>
              </wp:positionH>
              <wp:positionV relativeFrom="page">
                <wp:posOffset>422275</wp:posOffset>
              </wp:positionV>
              <wp:extent cx="57785" cy="103505"/>
              <wp:wrapNone/>
              <wp:docPr id="10" name="Shape 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78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fldSimple w:instr=" PAGE \* MERGEFORMAT ">
                            <w:r>
                              <w:rPr>
                                <w:rFonts w:ascii="Arial" w:eastAsia="Arial" w:hAnsi="Arial" w:cs="Arial"/>
                                <w:color w:val="434343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ru-RU" w:eastAsia="ru-RU" w:bidi="ru-RU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position:absolute;margin-left:315.25pt;margin-top:33.25pt;width:4.5499999999999998pt;height:8.1500000000000004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fldSimple w:instr=" PAGE \* MERGEFORMAT ">
                      <w:r>
                        <w:rPr>
                          <w:rFonts w:ascii="Arial" w:eastAsia="Arial" w:hAnsi="Arial" w:cs="Arial"/>
                          <w:color w:val="434343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CharStyle5">
    <w:name w:val="Подпись к картинке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character" w:customStyle="1" w:styleId="CharStyle7">
    <w:name w:val="Заголовок №1_"/>
    <w:basedOn w:val="DefaultParagraphFont"/>
    <w:link w:val="Style6"/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9">
    <w:name w:val="Основной текст (3)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18"/>
      <w:szCs w:val="18"/>
      <w:u w:val="none"/>
    </w:rPr>
  </w:style>
  <w:style w:type="character" w:customStyle="1" w:styleId="CharStyle20">
    <w:name w:val="Колонтитул (2)_"/>
    <w:basedOn w:val="DefaultParagraphFont"/>
    <w:link w:val="Style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3">
    <w:name w:val="Основной текст (2)_"/>
    <w:basedOn w:val="DefaultParagraphFont"/>
    <w:link w:val="Style22"/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paragraph" w:customStyle="1" w:styleId="Style4">
    <w:name w:val="Подпись к картинке"/>
    <w:basedOn w:val="Normal"/>
    <w:link w:val="CharStyle5"/>
    <w:pPr>
      <w:widowControl w:val="0"/>
      <w:shd w:val="clear" w:color="auto" w:fill="auto"/>
      <w:jc w:val="right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A292B"/>
      <w:sz w:val="26"/>
      <w:szCs w:val="26"/>
      <w:u w:val="none"/>
    </w:rPr>
  </w:style>
  <w:style w:type="paragraph" w:customStyle="1" w:styleId="Style6">
    <w:name w:val="Заголовок №1"/>
    <w:basedOn w:val="Normal"/>
    <w:link w:val="CharStyle7"/>
    <w:pPr>
      <w:widowControl w:val="0"/>
      <w:shd w:val="clear" w:color="auto" w:fill="auto"/>
      <w:spacing w:after="110"/>
      <w:jc w:val="center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sz w:val="40"/>
      <w:szCs w:val="40"/>
      <w:u w:val="none"/>
    </w:rPr>
  </w:style>
  <w:style w:type="paragraph" w:customStyle="1" w:styleId="Style8">
    <w:name w:val="Основной текст (3)"/>
    <w:basedOn w:val="Normal"/>
    <w:link w:val="CharStyle9"/>
    <w:pPr>
      <w:widowControl w:val="0"/>
      <w:shd w:val="clear" w:color="auto" w:fill="auto"/>
      <w:spacing w:after="220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18"/>
      <w:szCs w:val="18"/>
      <w:u w:val="none"/>
    </w:rPr>
  </w:style>
  <w:style w:type="paragraph" w:customStyle="1" w:styleId="Style19">
    <w:name w:val="Колонтитул (2)"/>
    <w:basedOn w:val="Normal"/>
    <w:link w:val="CharStyle20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2">
    <w:name w:val="Основной текст (2)"/>
    <w:basedOn w:val="Normal"/>
    <w:link w:val="CharStyle23"/>
    <w:pPr>
      <w:widowControl w:val="0"/>
      <w:shd w:val="clear" w:color="auto" w:fill="auto"/>
      <w:spacing w:after="20" w:line="218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34343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docProps/core.xml><?xml version="1.0" encoding="utf-8"?>
<cp:coreProperties xmlns:cp="http://schemas.openxmlformats.org/package/2006/metadata/core-properties" xmlns:dc="http://purl.org/dc/elements/1.1/">
  <dc:title>Отсканированное изображение</dc:title>
  <dc:subject>Отсканированное изображение</dc:subject>
  <dc:creator>NAPS2</dc:creator>
  <cp:keywords/>
</cp:coreProperties>
</file>