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360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1915795</wp:posOffset>
            </wp:positionH>
            <wp:positionV relativeFrom="margin">
              <wp:posOffset>0</wp:posOffset>
            </wp:positionV>
            <wp:extent cx="786130" cy="938530"/>
            <wp:wrapNone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86130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393" w:line="1" w:lineRule="exact"/>
      </w:pPr>
    </w:p>
    <w:p>
      <w:pPr>
        <w:widowControl w:val="0"/>
        <w:spacing w:line="1" w:lineRule="exact"/>
        <w:sectPr>
          <w:headerReference w:type="default" r:id="rId7"/>
          <w:headerReference w:type="first" r:id="rId8"/>
          <w:footnotePr>
            <w:pos w:val="pageBottom"/>
            <w:numFmt w:val="decimal"/>
            <w:numRestart w:val="continuous"/>
          </w:footnotePr>
          <w:pgSz w:w="11900" w:h="16840"/>
          <w:pgMar w:top="279" w:right="536" w:bottom="593" w:left="1082" w:header="0" w:footer="3" w:gutter="0"/>
          <w:pgNumType w:start="1"/>
          <w:cols w:space="720"/>
          <w:noEndnote/>
          <w:titlePg/>
          <w:rtlGutter w:val="0"/>
          <w:docGrid w:linePitch="360"/>
        </w:sectPr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4625340</wp:posOffset>
                </wp:positionH>
                <wp:positionV relativeFrom="paragraph">
                  <wp:posOffset>12700</wp:posOffset>
                </wp:positionV>
                <wp:extent cx="1593850" cy="640080"/>
                <wp:wrapSquare wrapText="lef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93850" cy="6400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Богдановскому С.В. </w:t>
                            </w:r>
                            <w:r>
                              <w:fldChar w:fldCharType="begin"/>
                            </w:r>
                            <w:r>
                              <w:rPr/>
                              <w:instrText> HYPERLINK "mailto:taganai89@yandex.ru"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taganai89@yandex.ru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364.19999999999999pt;margin-top:1.pt;width:125.5pt;height:50.399999999999999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Богдановскому С.В. </w:t>
                      </w:r>
                      <w:r>
                        <w:fldChar w:fldCharType="begin"/>
                      </w:r>
                      <w:r>
                        <w:rPr/>
                        <w:instrText> HYPERLINK "mailto:taganai89@yandex.ru" </w:instrText>
                      </w:r>
                      <w:r>
                        <w:fldChar w:fldCharType="separate"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taganai89@yandex.ru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b/>
          <w:bCs/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>МИНИСТЕРСТВО</w:t>
        <w:br/>
        <w:t>ТРУДА И СОЦИАЛЬНОЙ</w:t>
        <w:br/>
        <w:t>ЗАЩИТЫ</w:t>
        <w:br/>
        <w:t>РОССИЙСКОЙ ФЕДЕРАЦИИ</w:t>
        <w:br/>
      </w:r>
      <w:r>
        <w:rPr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>(МИНТРУД РОССИИ)</w:t>
        <w:br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улица Ильинка, 21, Москва, ГСП-4, 127994</w:t>
        <w:br/>
        <w:t>тел.: 8 (495) 870-67-00, факс: 8 (495) 870-68-71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126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"mailto:mintrud@mintrud.gov.ru"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mintrud@mintrud.gov.ru</w:t>
      </w:r>
      <w:r>
        <w:fldChar w:fldCharType="end"/>
      </w:r>
    </w:p>
    <w:p>
      <w:pPr>
        <w:pStyle w:val="Style8"/>
        <w:keepNext w:val="0"/>
        <w:keepLines w:val="0"/>
        <w:widowControl w:val="0"/>
        <w:shd w:val="clear" w:color="auto" w:fill="auto"/>
        <w:tabs>
          <w:tab w:leader="underscore" w:pos="2006" w:val="left"/>
          <w:tab w:leader="underscore" w:pos="4522" w:val="left"/>
        </w:tabs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№ </w:t>
        <w:tab/>
        <w:t xml:space="preserve"> от </w:t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Департаментом социальной защиты и социального обслуживания Минтруда России рассмотрено Ваше обращение, поступившее на официальный сайт Минтруда России по широкому спектру вопросов поддержки негосударственных поставщиков социальных услуг, и сообщается.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Согласно нормам пункта 1 статьи 42 Федерального закона от 21 декабря 2021 г. № 414-ФЗ «Об общих принципах организации публичной власти в субъектах Российской Федерации» организация социального обслуживания, а также решение вопросов по организации транспортного обслуживания населения отнесено к полномочиям органов государственной власти субъектов Российской Федерации и осуществляется 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за счет средств бюджетов субъектов Российской Федерации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6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 включении услуги «Социальное такси» в примерный перечень социальных услуг по видам социальных услуг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«Социальное такси» - дополнительная мера региональной социальной поддержки отдельных категорий граждан, предоставляемая в форме услуг 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специального транспортного обслуживания,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не относится к транспорту общего пользования.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связи с этим услуга «социального такси» отсутствует, как вид социальных услуг, в статье 20 Федерального закона от 28.12.2013 № 442-ФЗ «Об основах социального обслуживания граждан в Российской Федерации» (далее - Федеральный закон № 442-ФЗ) и в примерном перечне социальных услуг по видам социальных услуг, утвержденном постановлением Правительства Российской Федерации от 24.11.2014 № 1236.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7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целях повышения уровня социальной защищенности отдельных категорий граждан органы исполнительной власти субъектов Российской Федерации вправе устанавливать дополнительные к федеральным меры социальной поддержки отдельных категорий граждан, включая инвалидов, путем принятия соответствующих нормативных правовых актов за счет средств бюджетов субъектов Российской Федерации.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Данные меры осуществляются самостоятельно, исходя экономических возможностей бюджета конкретного субъекта Российской Федерации, в связи с чем можно констатировать, что единый подход в предоставлении услуги «социального такси» в целом по Российской Федерации отсутствует.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предоставления услуг «социального такси» субъектами Российской Федерации самостоятельно принимаются меры по увеличению парка автомобилей, предназначенных для перевозки инвалидов и маломобильных групп населения.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Службы «социального такси» 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создаются субъектами Российской Федерации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в целях обеспечения минимальной транспортной мобильности инвалидов от места жительства до социально значимых объектов (в их числе лечебно-профилактические, образовательные и культурные учреждения, органы социальной защиты населения, крупные транспортные объекты, органы медико-социальной экспертизы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), которые в том числе определяют условия и порядок предоставления льготных перевозок в зависимости от возможностей соответствующего бюджета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Учитывая, что Минтруд России не наделен полномочиями по регулированию вопросов организации транспортного обслуживания населения, в том числе посредством «социального такси», данная услуга не может быть включена в примерный перечень социальных услуг по видам социальных услуг, утвержденный постановлением Правительства Российской Федерации от 24 ноября 2014 г. № 1236.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 методологии расчета тарифов на социальные услуги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Установление порядка утверждения тарифов на социальные услуги на основании подушевых нормативов финансирования социальных услуг в соответствии с пунктом 11 статьи 8 Федерального закона от 28 декабря 2013 г. № 442-ФЗ «Об основах социального обслуживания граждан в Российской Федерации» (далее - Федеральный закон №442-ФЗ) отнесено к 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полномочиям органов государственной власти субъектов Российской Федерации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рамках реализации пункта 2 части 1 статьи 7 Федерального закона от 28 декабря 2013 г. № 442-ФЗ «Об основах социального обслуживания граждан в Российской Федерации» (далее - Федеральный закон № 442-ФЗ) постановлением Правительства Российской Федерации от 1 декабря 2014 г. № 1285 утверждены Методические рекомендации по расчету подушевых нормативов финансирования социальных услуг (далее - Методические рекомендации).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Методическими рекомендациями определены методологические подходы к установлению подушевых нормативов финансирования социальных услуг. В соответствии с положениями Методических рекомендаций подушевые нормативы устанавливаются в расчёте на одного получателя социальных услуг, утверждаются </w:t>
      </w:r>
      <w:r>
        <w:rPr>
          <w:color w:val="000000"/>
          <w:spacing w:val="0"/>
          <w:w w:val="100"/>
          <w:position w:val="0"/>
          <w:u w:val="single"/>
          <w:shd w:val="clear" w:color="auto" w:fill="auto"/>
          <w:lang w:val="ru-RU" w:eastAsia="ru-RU" w:bidi="ru-RU"/>
        </w:rPr>
        <w:t>законом субъекта Российской Федерации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 и определяются исходя из прямых и косвенных расходов на предоставление социальных услуг за период (не менее одного года), предшествующий расчетному, с применением индекса роста цен (тарифов) на соответствующие товары и услуги.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Исходя из норм статьи 69.2 Бюджетного кодекса Российской Федерации предельные цены (тарифы) на оплату соответствующих услуг физическим лицам в случаях, если законодательством Российской Федерации предусмотрено их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оказание на платной основе, либо порядок установления указанных цен (тарифов) в случаях, установленных законодательством Российской Федерации, должно содержаться в государственном задании на оказание государственных услуг физическим лицам.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Объем финансового обеспечения выполнения государственного задания рассчитывается на основании нормативных затрат на оказание государственных услуг, утверждаемых в порядке, установленном высшим исполнительным органом государственной власти субъекта Российской Федерации. В рамках реализации указанных норм принят приказ Минтруда России от 12 ноября 2021 г. № 794н «Об утверждении общих требований к определению нормативных затрат на оказание государственных (муниципальных) услуг в сфере социального обслуживания населения, применяемых при расчете объема субсидии на финансовое обеспечение выполнения государственного (муниципального) задания на оказание государственных (муниципальных) услуг (выполнение работ) государственным (муниципальным) учреждением» (далее - Приказ 794н).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Расчет тарифа на социальные услуги производится в соответствии с подходами, изложенными в Приказе 794н.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Таким образом, методология расчета тарифов на социальные услуги Минтрудом России определена.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 поддержке негосударственных поставщиков социальных услуг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соответствии с пунктом 20 статьи 8 Федерального закона № 442-ФЗ поддержка организация поддержки социально ориентированных некоммерческих организаций, благотворителей и добровольцев (волонтеров), осуществляющих деятельность в сфере социального обслуживания в субъектах Российской Федерации в соответствии с федеральными законами и законами субъектов Российской Федерации отнесена к полномочиям органов государственной власти субъектов Российской Федерации.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Вопросы об упрощении административных процедур и введения налоговых льгот для некоммерческих организаций не отнесены к компетенции Минтруда России.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i/>
          <w:i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Контроль(надзор) в сфере социального обслуживания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соответствии с нормами статьи 33 Федерального закона № 442-ФЗ государственный контроль(надзор) в сфере социального обслуживания за соблюдением обязательных требований в сфере социального обслуживания осуществляется посредством: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90" w:val="left"/>
        </w:tabs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федерального государственного контроля (надзора) в сфере социального обслуживания, осуществляемого федеральным органом исполнительной власти, уполномоченным Правительством Российской Федерации в соответствии с положением, утверждаемым Правительством Российской Федерации;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90" w:val="left"/>
        </w:tabs>
        <w:bidi w:val="0"/>
        <w:spacing w:before="0" w:after="0"/>
        <w:ind w:left="0" w:right="0" w:firstLine="720"/>
        <w:jc w:val="both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241" w:right="529" w:bottom="369" w:left="1089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регионального государственного контроля (надзора) в сфере социального обслуживания, осуществляемого уполномоченным органом исполнительной власти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субъекта Российской Федерации в соответствии с положением, утверждаемым высшим исполнительным органом государственной власти субъекта Российской Федерации.</w:t>
      </w:r>
    </w:p>
    <w:p>
      <w:pPr>
        <w:pStyle w:val="Style2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1035" w:val="left"/>
        </w:tabs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Предметом государственного контроля (надзора) в сфере социального обслуживания являются: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66" w:val="left"/>
        </w:tabs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федерального государственного контроля (надзора) в сфере социального обслуживания - соблюдение поставщиками социальных услуг из числа организаций социального обслуживания, находящихся в ведении федеральных органов исполнительной власти, и организаций социального обслуживания субъекта Российской Федерации требований настоящего Федерального закона, других федеральных законов и иных нормативных правовых актов Российской Федерации, а также законов и иных нормативных правовых актов субъектов Российской Федерации, регулирующих правоотношения в сфере социального обслуживания;</w:t>
      </w:r>
    </w:p>
    <w:p>
      <w:pPr>
        <w:pStyle w:val="Style2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71" w:val="left"/>
        </w:tabs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для регионального государственного контроля (надзора) в сфере социального обслуживания - соблюдение поставщиками социальных услуг из числа негосударственных (коммерческих и некоммерческих) организаций социального обслуживания и индивидуальных предпринимателей, осуществляющих социальное обслуживание, требований настоящего Федерального закона, других федеральных законов и иных нормативных правовых актов Российской Федерации, а также законов и иных нормативных правовых актов субъектов Российской Федерации, регулирующих правоотношения в сфере социального обслуживания.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78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соответствии с нормами статьи 34 Федерального закона № 442-ФЗ общественный контроль в сфере социального обслуживания осуществляется гражданами, общественными и иными организациями в соответствии с законодательством Российской Федерации о защите прав потребителей. Органы государственной власти субъектов Российской Федерации в пределах установленной компетенции оказывают содействие гражданам, общественным и иным организациям в осуществлении общественного контроля в сфере социального обслуживания.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69" w:lineRule="auto"/>
        <w:ind w:left="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80" behindDoc="0" locked="0" layoutInCell="1" allowOverlap="1">
                <wp:simplePos x="0" y="0"/>
                <wp:positionH relativeFrom="page">
                  <wp:posOffset>5819775</wp:posOffset>
                </wp:positionH>
                <wp:positionV relativeFrom="paragraph">
                  <wp:posOffset>444500</wp:posOffset>
                </wp:positionV>
                <wp:extent cx="1127760" cy="252730"/>
                <wp:wrapSquare wrapText="left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27760" cy="2527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Л.Б. Семенова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458.25pt;margin-top:35.pt;width:88.799999999999997pt;height:19.900000000000002pt;z-index:-125829373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Л.Б. Семенова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Заместитель директора Департамента социальной защиты и социального обслуживания</w:t>
      </w:r>
    </w:p>
    <w:sectPr>
      <w:headerReference w:type="default" r:id="rId9"/>
      <w:footerReference w:type="default" r:id="rId10"/>
      <w:footnotePr>
        <w:pos w:val="pageBottom"/>
        <w:numFmt w:val="decimal"/>
        <w:numRestart w:val="continuous"/>
      </w:footnotePr>
      <w:pgSz w:w="11900" w:h="16840"/>
      <w:pgMar w:top="1244" w:right="536" w:bottom="1244" w:left="1101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5" behindDoc="1" locked="0" layoutInCell="1" allowOverlap="1">
              <wp:simplePos x="0" y="0"/>
              <wp:positionH relativeFrom="page">
                <wp:posOffset>790575</wp:posOffset>
              </wp:positionH>
              <wp:positionV relativeFrom="page">
                <wp:posOffset>10184130</wp:posOffset>
              </wp:positionV>
              <wp:extent cx="1216025" cy="259080"/>
              <wp:wrapNone/>
              <wp:docPr id="11" name="Shape 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16025" cy="25908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ru-RU" w:eastAsia="ru-RU" w:bidi="ru-RU"/>
                            </w:rPr>
                            <w:t>Е.П. Поддубская</w:t>
                          </w:r>
                        </w:p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hd w:val="clear" w:color="auto" w:fill="auto"/>
                              <w:lang w:val="ru-RU" w:eastAsia="ru-RU" w:bidi="ru-RU"/>
                            </w:rPr>
                            <w:t>+7(495)587-88-89 2660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7" type="#_x0000_t202" style="position:absolute;margin-left:62.25pt;margin-top:801.89999999999998pt;width:95.75pt;height:20.400000000000002pt;z-index:-188744058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ru-RU" w:eastAsia="ru-RU" w:bidi="ru-RU"/>
                      </w:rPr>
                      <w:t>Е.П. Поддубская</w:t>
                    </w:r>
                  </w:p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hd w:val="clear" w:color="auto" w:fill="auto"/>
                        <w:lang w:val="ru-RU" w:eastAsia="ru-RU" w:bidi="ru-RU"/>
                      </w:rPr>
                      <w:t>+7(495)587-88-89 2660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1" behindDoc="1" locked="0" layoutInCell="1" allowOverlap="1">
              <wp:simplePos x="0" y="0"/>
              <wp:positionH relativeFrom="page">
                <wp:posOffset>3914775</wp:posOffset>
              </wp:positionH>
              <wp:positionV relativeFrom="page">
                <wp:posOffset>476885</wp:posOffset>
              </wp:positionV>
              <wp:extent cx="76200" cy="118745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620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ru-RU" w:eastAsia="ru-RU" w:bidi="ru-RU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08.25pt;margin-top:37.550000000000004pt;width:6.pt;height:9.3499999999999996pt;z-index:-188744062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3" behindDoc="1" locked="0" layoutInCell="1" allowOverlap="1">
              <wp:simplePos x="0" y="0"/>
              <wp:positionH relativeFrom="page">
                <wp:posOffset>3917950</wp:posOffset>
              </wp:positionH>
              <wp:positionV relativeFrom="page">
                <wp:posOffset>478790</wp:posOffset>
              </wp:positionV>
              <wp:extent cx="79375" cy="118745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79375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fldSimple w:instr=" PAGE \* MERGEFORMAT "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z w:val="28"/>
                                <w:szCs w:val="28"/>
                                <w:shd w:val="clear" w:color="auto" w:fill="auto"/>
                                <w:lang w:val="ru-RU" w:eastAsia="ru-RU" w:bidi="ru-RU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position:absolute;margin-left:308.5pt;margin-top:37.700000000000003pt;width:6.25pt;height:9.3499999999999996pt;z-index:-188744060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fldSimple w:instr=" PAGE \* MERGEFORMAT "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8"/>
                          <w:szCs w:val="28"/>
                          <w:shd w:val="clear" w:color="auto" w:fill="auto"/>
                          <w:lang w:val="ru-RU" w:eastAsia="ru-RU" w:bidi="ru-RU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Основной текст (2)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character" w:customStyle="1" w:styleId="CharStyle9">
    <w:name w:val="Основной текст (3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3">
    <w:name w:val="Колонтитул (2)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line="276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Основной текст (2)"/>
    <w:basedOn w:val="Normal"/>
    <w:link w:val="CharStyle5"/>
    <w:pPr>
      <w:widowControl w:val="0"/>
      <w:shd w:val="clear" w:color="auto" w:fill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paragraph" w:customStyle="1" w:styleId="Style8">
    <w:name w:val="Основной текст (3)"/>
    <w:basedOn w:val="Normal"/>
    <w:link w:val="CharStyle9"/>
    <w:pPr>
      <w:widowControl w:val="0"/>
      <w:shd w:val="clear" w:color="auto" w:fill="auto"/>
      <w:spacing w:after="8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12">
    <w:name w:val="Колонтитул (2)"/>
    <w:basedOn w:val="Normal"/>
    <w:link w:val="CharStyle1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ЭОС</dc:creator>
  <cp:keywords/>
</cp:coreProperties>
</file>