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360" w:lineRule="exact"/>
      </w:pPr>
      <w:r>
        <w:drawing>
          <wp:anchor distT="0" distB="0" distL="0" distR="0" simplePos="0" relativeHeight="62914690" behindDoc="1" locked="0" layoutInCell="1" allowOverlap="1">
            <wp:simplePos x="0" y="0"/>
            <wp:positionH relativeFrom="page">
              <wp:posOffset>1915795</wp:posOffset>
            </wp:positionH>
            <wp:positionV relativeFrom="margin">
              <wp:posOffset>0</wp:posOffset>
            </wp:positionV>
            <wp:extent cx="786130" cy="938530"/>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786130" cy="938530"/>
                    </a:xfrm>
                    <a:prstGeom prst="rect"/>
                  </pic:spPr>
                </pic:pic>
              </a:graphicData>
            </a:graphic>
          </wp:anchor>
        </w:drawing>
      </w:r>
    </w:p>
    <w:p>
      <w:pPr>
        <w:widowControl w:val="0"/>
        <w:spacing w:line="360" w:lineRule="exact"/>
      </w:pPr>
    </w:p>
    <w:p>
      <w:pPr>
        <w:widowControl w:val="0"/>
        <w:spacing w:line="360" w:lineRule="exact"/>
      </w:pPr>
    </w:p>
    <w:p>
      <w:pPr>
        <w:widowControl w:val="0"/>
        <w:spacing w:after="393" w:line="1" w:lineRule="exact"/>
      </w:pPr>
    </w:p>
    <w:p>
      <w:pPr>
        <w:widowControl w:val="0"/>
        <w:spacing w:line="1" w:lineRule="exact"/>
        <w:sectPr>
          <w:headerReference w:type="default" r:id="rId7"/>
          <w:headerReference w:type="first" r:id="rId8"/>
          <w:footnotePr>
            <w:pos w:val="pageBottom"/>
            <w:numFmt w:val="decimal"/>
            <w:numRestart w:val="continuous"/>
          </w:footnotePr>
          <w:pgSz w:w="11900" w:h="16840"/>
          <w:pgMar w:top="1129" w:right="536" w:bottom="1635" w:left="1101" w:header="0" w:footer="3" w:gutter="0"/>
          <w:pgNumType w:start="1"/>
          <w:cols w:space="720"/>
          <w:noEndnote/>
          <w:titlePg/>
          <w:rtlGutter w:val="0"/>
          <w:docGrid w:linePitch="360"/>
        </w:sectPr>
      </w:pPr>
    </w:p>
    <w:p>
      <w:pPr>
        <w:pStyle w:val="Style4"/>
        <w:keepNext w:val="0"/>
        <w:keepLines w:val="0"/>
        <w:widowControl w:val="0"/>
        <w:shd w:val="clear" w:color="auto" w:fill="auto"/>
        <w:bidi w:val="0"/>
        <w:spacing w:before="0" w:after="0" w:line="240" w:lineRule="auto"/>
        <w:ind w:left="0" w:right="0" w:firstLine="0"/>
        <w:jc w:val="center"/>
      </w:pPr>
      <w:r>
        <mc:AlternateContent>
          <mc:Choice Requires="wps">
            <w:drawing>
              <wp:anchor distT="0" distB="0" distL="114300" distR="114300" simplePos="0" relativeHeight="125829378" behindDoc="0" locked="0" layoutInCell="1" allowOverlap="1">
                <wp:simplePos x="0" y="0"/>
                <wp:positionH relativeFrom="page">
                  <wp:posOffset>4625340</wp:posOffset>
                </wp:positionH>
                <wp:positionV relativeFrom="paragraph">
                  <wp:posOffset>254000</wp:posOffset>
                </wp:positionV>
                <wp:extent cx="1593850" cy="673735"/>
                <wp:wrapSquare wrapText="left"/>
                <wp:docPr id="5" name="Shape 5"/>
                <a:graphic xmlns:a="http://schemas.openxmlformats.org/drawingml/2006/main">
                  <a:graphicData uri="http://schemas.microsoft.com/office/word/2010/wordprocessingShape">
                    <wps:wsp>
                      <wps:cNvSpPr txBox="1"/>
                      <wps:spPr>
                        <a:xfrm>
                          <a:ext cx="1593850" cy="673735"/>
                        </a:xfrm>
                        <a:prstGeom prst="rect"/>
                        <a:noFill/>
                      </wps:spPr>
                      <wps:txbx>
                        <w:txbxContent>
                          <w:p>
                            <w:pPr>
                              <w:pStyle w:val="Style2"/>
                              <w:keepNext w:val="0"/>
                              <w:keepLines w:val="0"/>
                              <w:widowControl w:val="0"/>
                              <w:shd w:val="clear" w:color="auto" w:fill="auto"/>
                              <w:bidi w:val="0"/>
                              <w:spacing w:before="0" w:after="0" w:line="377" w:lineRule="auto"/>
                              <w:ind w:left="0" w:right="0" w:firstLine="0"/>
                              <w:jc w:val="left"/>
                            </w:pPr>
                            <w:r>
                              <w:rPr>
                                <w:color w:val="000000"/>
                                <w:spacing w:val="0"/>
                                <w:w w:val="100"/>
                                <w:position w:val="0"/>
                                <w:shd w:val="clear" w:color="auto" w:fill="auto"/>
                                <w:lang w:val="ru-RU" w:eastAsia="ru-RU" w:bidi="ru-RU"/>
                              </w:rPr>
                              <w:t xml:space="preserve">Богдановскому С.В. </w:t>
                            </w:r>
                            <w:r>
                              <w:fldChar w:fldCharType="begin"/>
                            </w:r>
                            <w:r>
                              <w:rPr/>
                              <w:instrText> HYPERLINK "mailto:taganai89@yandex.ru" </w:instrText>
                            </w:r>
                            <w:r>
                              <w:fldChar w:fldCharType="separate"/>
                            </w:r>
                            <w:r>
                              <w:rPr>
                                <w:color w:val="000000"/>
                                <w:spacing w:val="0"/>
                                <w:w w:val="100"/>
                                <w:position w:val="0"/>
                                <w:shd w:val="clear" w:color="auto" w:fill="auto"/>
                                <w:lang w:val="en-US" w:eastAsia="en-US" w:bidi="en-US"/>
                              </w:rPr>
                              <w:t>taganai89@yandex.ru</w:t>
                            </w:r>
                            <w:r>
                              <w:fldChar w:fldCharType="end"/>
                            </w:r>
                          </w:p>
                        </w:txbxContent>
                      </wps:txbx>
                      <wps:bodyPr lIns="0" tIns="0" rIns="0" bIns="0">
                        <a:noAutoFit/>
                      </wps:bodyPr>
                    </wps:wsp>
                  </a:graphicData>
                </a:graphic>
              </wp:anchor>
            </w:drawing>
          </mc:Choice>
          <mc:Fallback>
            <w:pict>
              <v:shape id="_x0000_s1031" type="#_x0000_t202" style="position:absolute;margin-left:364.19999999999999pt;margin-top:20.pt;width:125.5pt;height:53.050000000000004pt;z-index:-12582937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377" w:lineRule="auto"/>
                        <w:ind w:left="0" w:right="0" w:firstLine="0"/>
                        <w:jc w:val="left"/>
                      </w:pPr>
                      <w:r>
                        <w:rPr>
                          <w:color w:val="000000"/>
                          <w:spacing w:val="0"/>
                          <w:w w:val="100"/>
                          <w:position w:val="0"/>
                          <w:shd w:val="clear" w:color="auto" w:fill="auto"/>
                          <w:lang w:val="ru-RU" w:eastAsia="ru-RU" w:bidi="ru-RU"/>
                        </w:rPr>
                        <w:t xml:space="preserve">Богдановскому С.В. </w:t>
                      </w:r>
                      <w:r>
                        <w:fldChar w:fldCharType="begin"/>
                      </w:r>
                      <w:r>
                        <w:rPr/>
                        <w:instrText> HYPERLINK "mailto:taganai89@yandex.ru" </w:instrText>
                      </w:r>
                      <w:r>
                        <w:fldChar w:fldCharType="separate"/>
                      </w:r>
                      <w:r>
                        <w:rPr>
                          <w:color w:val="000000"/>
                          <w:spacing w:val="0"/>
                          <w:w w:val="100"/>
                          <w:position w:val="0"/>
                          <w:shd w:val="clear" w:color="auto" w:fill="auto"/>
                          <w:lang w:val="en-US" w:eastAsia="en-US" w:bidi="en-US"/>
                        </w:rPr>
                        <w:t>taganai89@yandex.ru</w:t>
                      </w:r>
                      <w:r>
                        <w:fldChar w:fldCharType="end"/>
                      </w:r>
                    </w:p>
                  </w:txbxContent>
                </v:textbox>
                <w10:wrap type="square" side="left" anchorx="page"/>
              </v:shape>
            </w:pict>
          </mc:Fallback>
        </mc:AlternateContent>
      </w:r>
      <w:r>
        <w:rPr>
          <w:b/>
          <w:bCs/>
          <w:spacing w:val="0"/>
          <w:w w:val="100"/>
          <w:position w:val="0"/>
          <w:sz w:val="28"/>
          <w:szCs w:val="28"/>
          <w:shd w:val="clear" w:color="auto" w:fill="auto"/>
          <w:lang w:val="ru-RU" w:eastAsia="ru-RU" w:bidi="ru-RU"/>
        </w:rPr>
        <w:t>МИНИСТЕРСТВО</w:t>
        <w:br/>
        <w:t>ТРУДА И СОЦИАЛЬНОЙ</w:t>
        <w:br/>
        <w:t>ЗАЩИТЫ</w:t>
        <w:br/>
        <w:t>РОССИЙСКОЙ ФЕДЕРАЦИИ</w:t>
        <w:br/>
      </w:r>
      <w:r>
        <w:rPr>
          <w:spacing w:val="0"/>
          <w:w w:val="100"/>
          <w:position w:val="0"/>
          <w:sz w:val="28"/>
          <w:szCs w:val="28"/>
          <w:shd w:val="clear" w:color="auto" w:fill="auto"/>
          <w:lang w:val="ru-RU" w:eastAsia="ru-RU" w:bidi="ru-RU"/>
        </w:rPr>
        <w:t>(МИНТРУД РОССИИ)</w:t>
        <w:br/>
      </w:r>
      <w:r>
        <w:rPr>
          <w:spacing w:val="0"/>
          <w:w w:val="100"/>
          <w:position w:val="0"/>
          <w:shd w:val="clear" w:color="auto" w:fill="auto"/>
          <w:lang w:val="ru-RU" w:eastAsia="ru-RU" w:bidi="ru-RU"/>
        </w:rPr>
        <w:t>улица Ильинка, 21, Москва, ГСП-4, 127994</w:t>
        <w:br/>
        <w:t>тел.: 8 (495) 870-67-00, факс: 8 (495) 870-68-71</w:t>
      </w:r>
    </w:p>
    <w:p>
      <w:pPr>
        <w:pStyle w:val="Style4"/>
        <w:keepNext w:val="0"/>
        <w:keepLines w:val="0"/>
        <w:widowControl w:val="0"/>
        <w:shd w:val="clear" w:color="auto" w:fill="auto"/>
        <w:bidi w:val="0"/>
        <w:spacing w:before="0" w:after="620" w:line="240" w:lineRule="auto"/>
        <w:ind w:left="1240" w:right="0" w:firstLine="0"/>
        <w:jc w:val="left"/>
      </w:pPr>
      <w:r>
        <w:rPr>
          <w:spacing w:val="0"/>
          <w:w w:val="100"/>
          <w:position w:val="0"/>
          <w:shd w:val="clear" w:color="auto" w:fill="auto"/>
          <w:lang w:val="en-US" w:eastAsia="en-US" w:bidi="en-US"/>
        </w:rPr>
        <w:t xml:space="preserve">E-mail: </w:t>
      </w:r>
      <w:r>
        <w:fldChar w:fldCharType="begin"/>
      </w:r>
      <w:r>
        <w:rPr/>
        <w:instrText> HYPERLINK "mailto:mintrud@mintrud.gov.ru" </w:instrText>
      </w:r>
      <w:r>
        <w:fldChar w:fldCharType="separate"/>
      </w:r>
      <w:r>
        <w:rPr>
          <w:spacing w:val="0"/>
          <w:w w:val="100"/>
          <w:position w:val="0"/>
          <w:shd w:val="clear" w:color="auto" w:fill="auto"/>
          <w:lang w:val="en-US" w:eastAsia="en-US" w:bidi="en-US"/>
        </w:rPr>
        <w:t>mintrud@mintrud.gov.ru</w:t>
      </w:r>
      <w:r>
        <w:fldChar w:fldCharType="end"/>
      </w:r>
    </w:p>
    <w:p>
      <w:pPr>
        <w:pStyle w:val="Style8"/>
        <w:keepNext w:val="0"/>
        <w:keepLines w:val="0"/>
        <w:widowControl w:val="0"/>
        <w:shd w:val="clear" w:color="auto" w:fill="auto"/>
        <w:tabs>
          <w:tab w:leader="underscore" w:pos="2006" w:val="left"/>
          <w:tab w:leader="underscore" w:pos="4522" w:val="left"/>
        </w:tabs>
        <w:bidi w:val="0"/>
        <w:spacing w:before="0" w:after="480" w:line="240" w:lineRule="auto"/>
        <w:ind w:left="0" w:right="0" w:firstLine="0"/>
        <w:jc w:val="left"/>
        <w:rPr>
          <w:sz w:val="22"/>
          <w:szCs w:val="22"/>
        </w:rPr>
      </w:pPr>
      <w:r>
        <w:rPr>
          <w:color w:val="000000"/>
          <w:spacing w:val="0"/>
          <w:w w:val="100"/>
          <w:position w:val="0"/>
          <w:sz w:val="22"/>
          <w:szCs w:val="22"/>
          <w:shd w:val="clear" w:color="auto" w:fill="auto"/>
          <w:lang w:val="ru-RU" w:eastAsia="ru-RU" w:bidi="ru-RU"/>
        </w:rPr>
        <w:t xml:space="preserve">На № </w:t>
        <w:tab/>
        <w:t xml:space="preserve"> от </w:t>
        <w:tab/>
      </w:r>
    </w:p>
    <w:p>
      <w:pPr>
        <w:pStyle w:val="Style2"/>
        <w:keepNext w:val="0"/>
        <w:keepLines w:val="0"/>
        <w:widowControl w:val="0"/>
        <w:shd w:val="clear" w:color="auto" w:fill="auto"/>
        <w:bidi w:val="0"/>
        <w:spacing w:before="0" w:after="300" w:line="240" w:lineRule="auto"/>
        <w:ind w:left="0" w:right="0" w:firstLine="0"/>
        <w:jc w:val="center"/>
      </w:pPr>
      <w:r>
        <w:rPr>
          <w:color w:val="000000"/>
          <w:spacing w:val="0"/>
          <w:w w:val="100"/>
          <w:position w:val="0"/>
          <w:shd w:val="clear" w:color="auto" w:fill="auto"/>
          <w:lang w:val="ru-RU" w:eastAsia="ru-RU" w:bidi="ru-RU"/>
        </w:rPr>
        <w:t>Уважаемый Сергей Викторович!</w:t>
      </w:r>
    </w:p>
    <w:p>
      <w:pPr>
        <w:pStyle w:val="Style2"/>
        <w:keepNext w:val="0"/>
        <w:keepLines w:val="0"/>
        <w:widowControl w:val="0"/>
        <w:shd w:val="clear" w:color="auto" w:fill="auto"/>
        <w:bidi w:val="0"/>
        <w:spacing w:before="0" w:after="0" w:line="240" w:lineRule="auto"/>
        <w:ind w:left="0" w:right="0" w:firstLine="760"/>
        <w:jc w:val="both"/>
      </w:pPr>
      <w:r>
        <w:rPr>
          <w:color w:val="000000"/>
          <w:spacing w:val="0"/>
          <w:w w:val="100"/>
          <w:position w:val="0"/>
          <w:shd w:val="clear" w:color="auto" w:fill="auto"/>
          <w:lang w:val="ru-RU" w:eastAsia="ru-RU" w:bidi="ru-RU"/>
        </w:rPr>
        <w:t>Департаментом социальной защиты и социального обслуживания Министерства труда и социальной защиты Российской Федерации рассмотрено Ваше обращение по вопросам внесения в примерный перечень социальных услуг услуги «Социальное такси», разработки единых для всех субъектов Российской Федерации методических рекомендаций по расчету тарифов на социальные услуги, внесения изменений в федеральный закон от 12 января 1996 г. № 7-ФЗ «О некоммерческих организациях» по упрощению административных процедур и введению налоговых льгот для НКО, разработки и внедрения системы мониторинга и оценки качества социальных услуг, включая независимые экспертизы и общественное участие, и в рамках компетенции сообщается.</w:t>
      </w:r>
    </w:p>
    <w:p>
      <w:pPr>
        <w:pStyle w:val="Style2"/>
        <w:keepNext w:val="0"/>
        <w:keepLines w:val="0"/>
        <w:widowControl w:val="0"/>
        <w:shd w:val="clear" w:color="auto" w:fill="auto"/>
        <w:bidi w:val="0"/>
        <w:spacing w:before="0" w:after="0" w:line="240" w:lineRule="auto"/>
        <w:ind w:left="0" w:right="0" w:firstLine="760"/>
        <w:jc w:val="both"/>
      </w:pPr>
      <w:r>
        <w:rPr>
          <w:color w:val="000000"/>
          <w:spacing w:val="0"/>
          <w:w w:val="100"/>
          <w:position w:val="0"/>
          <w:shd w:val="clear" w:color="auto" w:fill="auto"/>
          <w:lang w:val="ru-RU" w:eastAsia="ru-RU" w:bidi="ru-RU"/>
        </w:rPr>
        <w:t>В соответствии со статьей 8 Федерального закона № 442-ФЗ «Об основах социального обслуживания граждан в Российской Федерации» утверждение перечня социальных услуг, предоставляемых поставщиками социальных услуг, утверждение порядка предоставления социальных услуг поставщиками социальных услуг, установление порядка утверждения тарифов на социальные услуги на основании подушевых нормативов финансирования социальных услуг, создание условий для организации проведения независимой оценки качества условий оказания услуг организациями социального обслуживания отнесено к полномочиям органов государственной власти субъектов Российской Федерации и осуществляются за счет средств региональных бюджетов.</w:t>
      </w:r>
    </w:p>
    <w:p>
      <w:pPr>
        <w:pStyle w:val="Style2"/>
        <w:keepNext w:val="0"/>
        <w:keepLines w:val="0"/>
        <w:widowControl w:val="0"/>
        <w:shd w:val="clear" w:color="auto" w:fill="auto"/>
        <w:bidi w:val="0"/>
        <w:spacing w:before="0" w:after="480" w:line="240" w:lineRule="auto"/>
        <w:ind w:left="0" w:right="0" w:firstLine="760"/>
        <w:jc w:val="both"/>
      </w:pPr>
      <w:r>
        <w:rPr>
          <w:color w:val="000000"/>
          <w:spacing w:val="0"/>
          <w:w w:val="100"/>
          <w:position w:val="0"/>
          <w:shd w:val="clear" w:color="auto" w:fill="auto"/>
          <w:lang w:val="ru-RU" w:eastAsia="ru-RU" w:bidi="ru-RU"/>
        </w:rPr>
        <w:t>Социальна услуга «Социальное такси» отнесена к срочной социальной услуге и вводится органами государственной власти субъектов Российской Федерации исходя из социально-экономической необходимости и финансовых возможностей регионального бюджета. Указанная услуга введена в 64 субъектах Российской Федерации.</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По информации Департамента социальной защиты населения Ямало</w:t>
        <w:softHyphen/>
        <w:t>Ненецкого автономного округа в Ямало-Ненецком автономном округе (далее - автономный округ) Центр «Таганай» с 30 декабря 2015 года включен в реестр поставщиков социальных услуг автономного округа.</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Организация предоставляет социальные услуги гражданам пожилого возраста и инвалидам в форме социального обслуживания на дому, в полустационарной форме социального обслуживания и срочные социальные услуги, в том числе срочную социальную услугу «Перевозка на автотранспорте службы «Социальное такси».</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Предоставление субсидии негосударственным поставщикам социальных услуг, оказывающим услуги «Перевозка на автотранспорте службы «Социальное такси», осуществляется в соответствии с постановлением Правительства автономного округа от 25 июня 2021 года № 557-П «О предоставлении субсидии из окружного бюджета в целях возмещения затрат поставщиков социальных услуг, которые включены в реестр поставщиков социальных услуг в Ямало-Ненецком автономном округе, но не участвуют в выполнении государственного задания (заказа), связанных с предоставлением социальных услуг» (далее - постановление № 557-П, Порядок).</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В 2022-2024 годах пунктом 1.2 приложения № 2 к Порядку для негосударственных поставщиков социальных услуг были установлены отдельные тарифы на предоставление услуг «Перевозка на автотранспорте службы «Социальное такси» в размерах: 2 300,00 рублей - при предоставлении услуги на специализированном автотранспорте; 1 200,00 рублей - при предоставлении услуги без применения специализированного автотранспорта.</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В соответствии с изменениями, внесенными в Порядок, начиная с 2025 года при расчете суммы субсидии негосударственным поставщикам в целях возмещения затрат в связи с предоставлением социальных услуг применяются дифференцированные тарифы, утвержденные для организаций социального обслуживания, находящихся в ведении автономного округа в зависимости от территориальной принадлежности.</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По информации Департамента социальной защиты населения Ямало</w:t>
        <w:softHyphen/>
        <w:t>Ненецкого автономного округа для города Ноябрьска, в котором оказывает услуги Центр «Таганай», тариф на 2025 год на услугу «Перевозка на автотранспорте службы «Социальное такси» установлен в размере 884,40 рублей.</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В рамах проведенного Минтрудом России мониторинга тарифообразования на услугу «социальное такси» отмечается, что указанный тариф является одним из самых высоких как в Российской Федерации, так и в Уральском федеральном округе.</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 xml:space="preserve">Кроме того отмечается, что по результатам проведенного Минтрудом России мониторинга удельного веса негосударственных поставщиков социальных услуг, в разрезе субъектов Российской Федерации, количественный показатель негосударственных поставщиков социальных услуг в Ямало-Ненецком автономном округе относительно постоянен и существенно не изменяется, при этом объем средств регионального бюджета, направленных на возмещение расходов социальных услуг в сфере социального обслуживания и социального сопровождения, увеличился </w:t>
      </w:r>
      <w:r>
        <w:rPr>
          <w:color w:val="000000"/>
          <w:spacing w:val="0"/>
          <w:w w:val="100"/>
          <w:position w:val="0"/>
          <w:shd w:val="clear" w:color="auto" w:fill="auto"/>
          <w:lang w:val="ru-RU" w:eastAsia="ru-RU" w:bidi="ru-RU"/>
        </w:rPr>
        <w:t>на 812,97 млн. рублей (с 2 884,14 млн. рублей в 2023 году до 3 697,11 млн. рублей в 2024 г.).</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На основании изложенного разработка единых для всех субъектов Российской Федерации методических рекомендаций по расчету тарифов на социальные услуги, разработка и внедрение системы мониторинга и оценки качества социальных услуг представляется не целесообразным.</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Таким образом вопросы по разработке единых для всех субъектов Российской Федерации методических рекомендаций по расчету тарифов на социальные услуги, разработке и внедрению системы мониторинга и оценки качества социальных услуг в достаточной степени урегулированы законодательством Ямало-Ненецким автономным округом.</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Каких-либо ограничений для развития конкуренции в сфере социального обслуживания не выявлено.</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Доля негосударственных поставщиков социальных услуг составляет 82,46%, что выше среднего в целом по Российской Федерации.</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Заместитель директора Департамента</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социальной защиты и социального</w:t>
      </w:r>
    </w:p>
    <w:p>
      <w:pPr>
        <w:pStyle w:val="Style2"/>
        <w:keepNext w:val="0"/>
        <w:keepLines w:val="0"/>
        <w:widowControl w:val="0"/>
        <w:shd w:val="clear" w:color="auto" w:fill="auto"/>
        <w:tabs>
          <w:tab w:pos="7939" w:val="left"/>
        </w:tabs>
        <w:bidi w:val="0"/>
        <w:spacing w:before="0" w:after="7800" w:line="240" w:lineRule="auto"/>
        <w:ind w:left="0" w:right="0" w:firstLine="0"/>
        <w:jc w:val="left"/>
      </w:pPr>
      <w:r>
        <w:rPr>
          <w:color w:val="000000"/>
          <w:spacing w:val="0"/>
          <w:w w:val="100"/>
          <w:position w:val="0"/>
          <w:shd w:val="clear" w:color="auto" w:fill="auto"/>
          <w:lang w:val="ru-RU" w:eastAsia="ru-RU" w:bidi="ru-RU"/>
        </w:rPr>
        <w:t>обслуживания</w:t>
        <w:tab/>
        <w:t>Л.Б. Семенова</w:t>
      </w:r>
    </w:p>
    <w:p>
      <w:pPr>
        <w:pStyle w:val="Style8"/>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Д.Г. Мильто</w:t>
      </w:r>
    </w:p>
    <w:p>
      <w:pPr>
        <w:pStyle w:val="Style8"/>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+7 (495) 587-88-89 2620</w:t>
      </w:r>
    </w:p>
    <w:sectPr>
      <w:footnotePr>
        <w:pos w:val="pageBottom"/>
        <w:numFmt w:val="decimal"/>
        <w:numRestart w:val="continuous"/>
      </w:footnotePr>
      <w:type w:val="continuous"/>
      <w:pgSz w:w="11900" w:h="16840"/>
      <w:pgMar w:top="1241" w:right="537" w:bottom="1348" w:left="1101"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1" behindDoc="1" locked="0" layoutInCell="1" allowOverlap="1">
              <wp:simplePos x="0" y="0"/>
              <wp:positionH relativeFrom="page">
                <wp:posOffset>3917315</wp:posOffset>
              </wp:positionH>
              <wp:positionV relativeFrom="page">
                <wp:posOffset>476885</wp:posOffset>
              </wp:positionV>
              <wp:extent cx="76200" cy="118745"/>
              <wp:wrapNone/>
              <wp:docPr id="3" name="Shape 3"/>
              <a:graphic xmlns:a="http://schemas.openxmlformats.org/drawingml/2006/main">
                <a:graphicData uri="http://schemas.microsoft.com/office/word/2010/wordprocessingShape">
                  <wps:wsp>
                    <wps:cNvSpPr txBox="1"/>
                    <wps:spPr>
                      <a:xfrm>
                        <a:ext cx="76200" cy="11874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shd w:val="clear" w:color="auto" w:fill="auto"/>
                                <w:lang w:val="ru-RU" w:eastAsia="ru-RU" w:bidi="ru-RU"/>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308.44999999999999pt;margin-top:37.550000000000004pt;width:6.pt;height:9.3499999999999996pt;z-index:-188744062;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shd w:val="clear" w:color="auto" w:fill="auto"/>
                          <w:lang w:val="ru-RU" w:eastAsia="ru-RU" w:bidi="ru-RU"/>
                        </w:rPr>
                        <w:t>#</w:t>
                      </w:r>
                    </w:fldSimple>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ru-RU"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ru-RU" w:eastAsia="ru-RU" w:bidi="ru-RU"/>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ru-RU" w:eastAsia="ru-RU" w:bidi="ru-RU"/>
    </w:rPr>
  </w:style>
  <w:style w:type="character" w:customStyle="1" w:styleId="CharStyle3">
    <w:name w:val="Основной текст_"/>
    <w:basedOn w:val="DefaultParagraphFont"/>
    <w:link w:val="Style2"/>
    <w:rPr>
      <w:rFonts w:ascii="Times New Roman" w:eastAsia="Times New Roman" w:hAnsi="Times New Roman" w:cs="Times New Roman"/>
      <w:b w:val="0"/>
      <w:bCs w:val="0"/>
      <w:i w:val="0"/>
      <w:iCs w:val="0"/>
      <w:smallCaps w:val="0"/>
      <w:strike w:val="0"/>
      <w:sz w:val="28"/>
      <w:szCs w:val="28"/>
      <w:u w:val="none"/>
    </w:rPr>
  </w:style>
  <w:style w:type="character" w:customStyle="1" w:styleId="CharStyle5">
    <w:name w:val="Основной текст (2)_"/>
    <w:basedOn w:val="DefaultParagraphFont"/>
    <w:link w:val="Style4"/>
    <w:rPr>
      <w:rFonts w:ascii="Times New Roman" w:eastAsia="Times New Roman" w:hAnsi="Times New Roman" w:cs="Times New Roman"/>
      <w:b w:val="0"/>
      <w:bCs w:val="0"/>
      <w:i w:val="0"/>
      <w:iCs w:val="0"/>
      <w:smallCaps w:val="0"/>
      <w:strike w:val="0"/>
      <w:color w:val="365F91"/>
      <w:sz w:val="18"/>
      <w:szCs w:val="18"/>
      <w:u w:val="none"/>
    </w:rPr>
  </w:style>
  <w:style w:type="character" w:customStyle="1" w:styleId="CharStyle9">
    <w:name w:val="Основной текст (3)_"/>
    <w:basedOn w:val="DefaultParagraphFont"/>
    <w:link w:val="Style8"/>
    <w:rPr>
      <w:rFonts w:ascii="Times New Roman" w:eastAsia="Times New Roman" w:hAnsi="Times New Roman" w:cs="Times New Roman"/>
      <w:b w:val="0"/>
      <w:bCs w:val="0"/>
      <w:i w:val="0"/>
      <w:iCs w:val="0"/>
      <w:smallCaps w:val="0"/>
      <w:strike w:val="0"/>
      <w:sz w:val="20"/>
      <w:szCs w:val="20"/>
      <w:u w:val="none"/>
    </w:rPr>
  </w:style>
  <w:style w:type="character" w:customStyle="1" w:styleId="CharStyle12">
    <w:name w:val="Колонтитул (2)_"/>
    <w:basedOn w:val="DefaultParagraphFont"/>
    <w:link w:val="Style11"/>
    <w:rPr>
      <w:rFonts w:ascii="Times New Roman" w:eastAsia="Times New Roman" w:hAnsi="Times New Roman" w:cs="Times New Roman"/>
      <w:b w:val="0"/>
      <w:bCs w:val="0"/>
      <w:i w:val="0"/>
      <w:iCs w:val="0"/>
      <w:smallCaps w:val="0"/>
      <w:strike w:val="0"/>
      <w:sz w:val="20"/>
      <w:szCs w:val="20"/>
      <w:u w:val="none"/>
    </w:rPr>
  </w:style>
  <w:style w:type="paragraph" w:customStyle="1" w:styleId="Style2">
    <w:name w:val="Основной текст"/>
    <w:basedOn w:val="Normal"/>
    <w:link w:val="CharStyle3"/>
    <w:pPr>
      <w:widowControl w:val="0"/>
      <w:shd w:val="clear" w:color="auto" w:fill="auto"/>
      <w:ind w:firstLine="400"/>
    </w:pPr>
    <w:rPr>
      <w:rFonts w:ascii="Times New Roman" w:eastAsia="Times New Roman" w:hAnsi="Times New Roman" w:cs="Times New Roman"/>
      <w:b w:val="0"/>
      <w:bCs w:val="0"/>
      <w:i w:val="0"/>
      <w:iCs w:val="0"/>
      <w:smallCaps w:val="0"/>
      <w:strike w:val="0"/>
      <w:sz w:val="28"/>
      <w:szCs w:val="28"/>
      <w:u w:val="none"/>
    </w:rPr>
  </w:style>
  <w:style w:type="paragraph" w:customStyle="1" w:styleId="Style4">
    <w:name w:val="Основной текст (2)"/>
    <w:basedOn w:val="Normal"/>
    <w:link w:val="CharStyle5"/>
    <w:pPr>
      <w:widowControl w:val="0"/>
      <w:shd w:val="clear" w:color="auto" w:fill="auto"/>
      <w:jc w:val="center"/>
    </w:pPr>
    <w:rPr>
      <w:rFonts w:ascii="Times New Roman" w:eastAsia="Times New Roman" w:hAnsi="Times New Roman" w:cs="Times New Roman"/>
      <w:b w:val="0"/>
      <w:bCs w:val="0"/>
      <w:i w:val="0"/>
      <w:iCs w:val="0"/>
      <w:smallCaps w:val="0"/>
      <w:strike w:val="0"/>
      <w:color w:val="365F91"/>
      <w:sz w:val="18"/>
      <w:szCs w:val="18"/>
      <w:u w:val="none"/>
    </w:rPr>
  </w:style>
  <w:style w:type="paragraph" w:customStyle="1" w:styleId="Style8">
    <w:name w:val="Основной текст (3)"/>
    <w:basedOn w:val="Normal"/>
    <w:link w:val="CharStyle9"/>
    <w:pPr>
      <w:widowControl w:val="0"/>
      <w:shd w:val="clear" w:color="auto" w:fill="auto"/>
      <w:spacing w:after="240"/>
    </w:pPr>
    <w:rPr>
      <w:rFonts w:ascii="Times New Roman" w:eastAsia="Times New Roman" w:hAnsi="Times New Roman" w:cs="Times New Roman"/>
      <w:b w:val="0"/>
      <w:bCs w:val="0"/>
      <w:i w:val="0"/>
      <w:iCs w:val="0"/>
      <w:smallCaps w:val="0"/>
      <w:strike w:val="0"/>
      <w:sz w:val="20"/>
      <w:szCs w:val="20"/>
      <w:u w:val="none"/>
    </w:rPr>
  </w:style>
  <w:style w:type="paragraph" w:customStyle="1" w:styleId="Style11">
    <w:name w:val="Колонтитул (2)"/>
    <w:basedOn w:val="Normal"/>
    <w:link w:val="CharStyle12"/>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header" Target="header1.xml"/><Relationship Id="rId8" Type="http://schemas.openxmlformats.org/officeDocument/2006/relationships/header" Target="header2.xml"/></Relationships>
</file>

<file path=docProps/core.xml><?xml version="1.0" encoding="utf-8"?>
<cp:coreProperties xmlns:cp="http://schemas.openxmlformats.org/package/2006/metadata/core-properties" xmlns:dc="http://purl.org/dc/elements/1.1/">
  <dc:title/>
  <dc:subject/>
  <dc:creator>ЭОС</dc:creator>
  <cp:keywords/>
</cp:coreProperties>
</file>