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1AB04" w14:textId="77777777" w:rsidR="00EE4C19" w:rsidRPr="00444668" w:rsidRDefault="00EE4C19" w:rsidP="00EE4C19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Рекомендации по подаче</w:t>
      </w:r>
    </w:p>
    <w:p w14:paraId="31CA9285" w14:textId="77777777" w:rsidR="00EE4C19" w:rsidRPr="00444668" w:rsidRDefault="00EE4C19" w:rsidP="00EE4C19">
      <w:pPr>
        <w:numPr>
          <w:ilvl w:val="0"/>
          <w:numId w:val="1"/>
        </w:numPr>
        <w:spacing w:after="0"/>
        <w:jc w:val="both"/>
      </w:pPr>
      <w:r w:rsidRPr="00444668">
        <w:rPr>
          <w:b/>
          <w:bCs/>
        </w:rPr>
        <w:t>Иск №1</w:t>
      </w:r>
      <w:r>
        <w:t xml:space="preserve"> </w:t>
      </w:r>
      <w:r w:rsidRPr="00444668">
        <w:t>подается в Ноябрьский городской суд (по месту жительства истца – ч. 2 ст. 24 КАС РФ).</w:t>
      </w:r>
    </w:p>
    <w:p w14:paraId="4363B888" w14:textId="77777777" w:rsidR="00EE4C19" w:rsidRPr="00444668" w:rsidRDefault="00EE4C19" w:rsidP="00EE4C19">
      <w:pPr>
        <w:numPr>
          <w:ilvl w:val="0"/>
          <w:numId w:val="1"/>
        </w:numPr>
        <w:spacing w:after="0"/>
        <w:jc w:val="both"/>
      </w:pPr>
      <w:r w:rsidRPr="00444668">
        <w:rPr>
          <w:b/>
          <w:bCs/>
        </w:rPr>
        <w:t>Иск №2</w:t>
      </w:r>
      <w:r>
        <w:t xml:space="preserve"> </w:t>
      </w:r>
      <w:r w:rsidRPr="00444668">
        <w:t>подается в Суд ЯНАО (подсудность по ст. 20 КАС РФ).</w:t>
      </w:r>
    </w:p>
    <w:p w14:paraId="63AB066E" w14:textId="77777777" w:rsidR="00EE4C19" w:rsidRPr="00444668" w:rsidRDefault="00EE4C19" w:rsidP="00EE4C19">
      <w:pPr>
        <w:numPr>
          <w:ilvl w:val="0"/>
          <w:numId w:val="1"/>
        </w:numPr>
        <w:spacing w:after="0"/>
        <w:jc w:val="both"/>
      </w:pPr>
      <w:r w:rsidRPr="00444668">
        <w:t>К каждому иску приложите документы, подтверждающие направление копий ответчикам (почтовые квитанции).</w:t>
      </w:r>
    </w:p>
    <w:p w14:paraId="33229FAD" w14:textId="77777777" w:rsidR="00EE4C19" w:rsidRPr="00444668" w:rsidRDefault="00EE4C19" w:rsidP="00EE4C19">
      <w:pPr>
        <w:numPr>
          <w:ilvl w:val="0"/>
          <w:numId w:val="1"/>
        </w:numPr>
        <w:spacing w:after="0"/>
        <w:jc w:val="both"/>
      </w:pPr>
      <w:r w:rsidRPr="00444668">
        <w:t>В обоих исках заявлено ходатайство об освобождении от госпошлины на основании п. 3 ч. 2 ст. 333.36 НК РФ (общественные организации инвалидов).</w:t>
      </w:r>
    </w:p>
    <w:p w14:paraId="52547109" w14:textId="77777777" w:rsidR="00EE4C19" w:rsidRPr="00444668" w:rsidRDefault="00EE4C19" w:rsidP="00EE4C19">
      <w:pPr>
        <w:spacing w:after="0"/>
        <w:ind w:firstLine="709"/>
        <w:jc w:val="both"/>
      </w:pPr>
      <w:r w:rsidRPr="00444668">
        <w:t>Данные иски содержат полную аргументацию, учитывающую все новые ответы органов власти, и предусматривают контраргументы на их возможные возражения. Успешного рассмотрения!</w:t>
      </w:r>
    </w:p>
    <w:p w14:paraId="0C814129" w14:textId="77777777" w:rsidR="00EE4C19" w:rsidRDefault="00EE4C19" w:rsidP="00EE4C19">
      <w:pPr>
        <w:spacing w:after="0"/>
        <w:ind w:firstLine="709"/>
        <w:jc w:val="both"/>
      </w:pPr>
    </w:p>
    <w:p w14:paraId="4C91F198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C1679C"/>
    <w:multiLevelType w:val="multilevel"/>
    <w:tmpl w:val="2ABC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19"/>
    <w:rsid w:val="006C0B77"/>
    <w:rsid w:val="008242FF"/>
    <w:rsid w:val="00870751"/>
    <w:rsid w:val="00922C48"/>
    <w:rsid w:val="00B915B7"/>
    <w:rsid w:val="00EA59DF"/>
    <w:rsid w:val="00EE4070"/>
    <w:rsid w:val="00EE4C19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F198"/>
  <w15:chartTrackingRefBased/>
  <w15:docId w15:val="{4D5093BA-3FA8-4E61-A723-D340261AF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C19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2026-03-04T15:25:00Z</dcterms:created>
  <dcterms:modified xsi:type="dcterms:W3CDTF">2026-03-04T15:28:00Z</dcterms:modified>
</cp:coreProperties>
</file>