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2"/>
        <w:keepNext w:val="0"/>
        <w:keepLines w:val="0"/>
        <w:widowControl w:val="0"/>
        <w:shd w:val="clear" w:color="auto" w:fill="auto"/>
        <w:tabs>
          <w:tab w:leader="underscore" w:pos="1949" w:val="left"/>
        </w:tabs>
        <w:bidi w:val="0"/>
        <w:spacing w:line="233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Приложение № </w:t>
        <w:tab/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leader="underscore" w:pos="6848" w:val="left"/>
          <w:tab w:leader="underscore" w:pos="7717" w:val="left"/>
          <w:tab w:leader="underscore" w:pos="9426" w:val="left"/>
        </w:tabs>
        <w:bidi w:val="0"/>
        <w:spacing w:line="233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 Договору о предоставлении социальных услуг № </w:t>
        <w:tab/>
        <w:t xml:space="preserve"> от «</w:t>
        <w:tab/>
        <w:t xml:space="preserve">» </w:t>
        <w:tab/>
        <w:t xml:space="preserve"> 20___г.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ПРАВИЛА ПОВЕДЕНИЯ ПОЛУЧАТЕЛЕЙ СОЦИАЛЬНЫХ УСЛУГ В ОТДЕЛЕНИЯХ ПОЛУСТАЦИОНАРНОЙ ФОРМЫ ОБСЛУЖИВАНИЯ</w:t>
      </w:r>
    </w:p>
    <w:p>
      <w:pPr>
        <w:pStyle w:val="Style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48" w:val="left"/>
        </w:tabs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Сотрудники ТЦСОН и граждане, состоящие на социальном обслуживании в отделении, должны соблюдать общепринятые правила поведения, проявлять вежливость и корректность в общении друг с другом.</w:t>
      </w:r>
    </w:p>
    <w:p>
      <w:pPr>
        <w:pStyle w:val="Style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48" w:val="left"/>
        </w:tabs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Получатели социальных услуг сотрудничают с работниками отделения на всех этапах оказания социального обслуживания;</w:t>
      </w:r>
    </w:p>
    <w:p>
      <w:pPr>
        <w:pStyle w:val="Style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48" w:val="left"/>
        </w:tabs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Получатели социальных услуг посещают занятия и кружки в соответствии с утвержденным расписанием и планом работы отделения и индивидуальной программой.</w:t>
      </w:r>
    </w:p>
    <w:p>
      <w:pPr>
        <w:pStyle w:val="Style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48" w:val="left"/>
        </w:tabs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Получатели социальных услуг могут подавать в письменном виде свои предложения по совершенствованию деятельности отделения.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Получатели социальных услуг обязаны: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- бережно относиться к имуществу и оборудованию ТЦСОН, соблюдать правила пожарной безопасности;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- соблюдать чистоту и порядок в помещениях, местах общего пользования;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- соблюдать правила личной гигиены и санитарии;</w:t>
      </w:r>
    </w:p>
    <w:p>
      <w:pPr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247" w:val="left"/>
        </w:tabs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предс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т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авлять дос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т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оверную информацию о сос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т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оянии своего здоровья. В случае появления заболеваний, препятс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т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вующих социальному обслуживанию и требующих длительного лечения в специализированных учреждениях здравоохранения, поставить в известность работников отделения. Принимать меры к сохранению и укреплению своего здоровья;</w:t>
      </w:r>
    </w:p>
    <w:p>
      <w:pPr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242" w:val="left"/>
        </w:tabs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не препятствовать работникам отделения, осуществляющим социальное обслуживание и предоставление социальных услуг, в выполнении ими должностных обязанностей;</w:t>
      </w:r>
    </w:p>
    <w:p>
      <w:pPr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237" w:val="left"/>
        </w:tabs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находиться в отделении в трезвом состоянии;</w:t>
      </w:r>
    </w:p>
    <w:p>
      <w:pPr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237" w:val="left"/>
        </w:tabs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исключать факторы, угрожающие здоровью и жизни работников Центра;</w:t>
      </w:r>
    </w:p>
    <w:p>
      <w:pPr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242" w:val="left"/>
        </w:tabs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своевременно информировать поставщика социальных услуг об изменении обстоятельств, обуславливающих потребность в предоставлении социальных услуг;</w:t>
      </w:r>
    </w:p>
    <w:p>
      <w:pPr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247" w:val="left"/>
        </w:tabs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соблюдать условия Договора, заключенного с поставщиком социальных услуг. Своевременно и в полном объеме оплачивать стоимость полученных социальных услуг в случае их предоставления за плату (частичную оплату);</w:t>
      </w:r>
    </w:p>
    <w:p>
      <w:pPr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237" w:val="left"/>
        </w:tabs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исполнять иные требования, установленные законодательством Российской Федерации.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Получателям социальных услуг запрещается:</w:t>
      </w:r>
    </w:p>
    <w:p>
      <w:pPr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242" w:val="left"/>
        </w:tabs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проносить в здание ТЦСОН алкогольные напитки, иную спиртосодержащую продукцию, наркотические средства и их аналоги, другие запрещенные к употреблению (токсические, легковоспламеняющиеся) вещества и средства, а также находиться в здании учреждения в алкогольном и наркотическом опьянении;</w:t>
      </w:r>
    </w:p>
    <w:p>
      <w:pPr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237" w:val="left"/>
        </w:tabs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переносить инвентарь и имущество учреждения из одного помещения в другое;</w:t>
      </w:r>
    </w:p>
    <w:p>
      <w:pPr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237" w:val="left"/>
        </w:tabs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курить в здании ТЦСОН;</w:t>
      </w:r>
    </w:p>
    <w:p>
      <w:pPr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237" w:val="left"/>
        </w:tabs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играть в азартные игры, а также в настольные и иные игры с целью извлечения личной выгоды;</w:t>
      </w:r>
    </w:p>
    <w:p>
      <w:pPr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237" w:val="left"/>
        </w:tabs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требовать от сотрудников </w:t>
      </w:r>
      <w:r>
        <w:rPr>
          <w:color w:val="000000"/>
          <w:spacing w:val="0"/>
          <w:w w:val="100"/>
          <w:position w:val="0"/>
          <w:shd w:val="clear" w:color="auto" w:fill="80FFFF"/>
          <w:lang w:val="ru-RU" w:eastAsia="ru-RU" w:bidi="ru-RU"/>
        </w:rPr>
        <w:t>Т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ЦСОН обслуживания третьих лиц, соседей, родственников и т.д.;</w:t>
      </w:r>
    </w:p>
    <w:p>
      <w:pPr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237" w:val="left"/>
        </w:tabs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получать социальное обслуживание в отделении в долг;</w:t>
      </w:r>
    </w:p>
    <w:p>
      <w:pPr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237" w:val="left"/>
        </w:tabs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требовать социальное обслуживание, находясь в нетрезвом состоянии;</w:t>
      </w:r>
    </w:p>
    <w:p>
      <w:pPr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242" w:val="left"/>
        </w:tabs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требовать от сотрудников отделения выполнения работ и социальных услуг, не включенных в перечень индивидуальной программы, и предоставляемых получателю социальных услуг согласно заключенному Договору, а также предоставления социальных услуг свыше норм, установленных государственными стандартами социального обслуживания граждан в отделении;</w:t>
      </w:r>
    </w:p>
    <w:p>
      <w:pPr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247" w:val="left"/>
        </w:tabs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требовать от работников отделения выполнения работ, которые не входят в круг их обязанностей или унижают их человеческое достоинство.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  <w:sectPr>
          <w:footnotePr>
            <w:pos w:val="pageBottom"/>
            <w:numFmt w:val="decimal"/>
            <w:numRestart w:val="continuous"/>
          </w:footnotePr>
          <w:pgSz w:w="11909" w:h="16840"/>
          <w:pgMar w:top="555" w:left="1092" w:right="529" w:bottom="931" w:header="127" w:footer="503" w:gutter="0"/>
          <w:pgNumType w:start="1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 Настоящими Правилами поведения ознакомлен(а)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(дата)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leader="underscore" w:pos="2371" w:val="left"/>
        </w:tabs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ab/>
        <w:t>/_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(подпись)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line="240" w:lineRule="auto"/>
        <w:ind w:lef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(расшифровка)</w:t>
      </w:r>
    </w:p>
    <w:p>
      <w:pPr>
        <w:widowControl w:val="0"/>
        <w:spacing w:line="1" w:lineRule="exact"/>
      </w:pPr>
    </w:p>
    <w:sectPr>
      <w:footnotePr>
        <w:pos w:val="pageBottom"/>
        <w:numFmt w:val="decimal"/>
        <w:numRestart w:val="continuous"/>
      </w:footnotePr>
      <w:type w:val="continuous"/>
      <w:pgSz w:w="11909" w:h="16840"/>
      <w:pgMar w:top="555" w:left="1092" w:right="529" w:bottom="555" w:header="0" w:footer="3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2">
    <w:multiLevelType w:val="multilevel"/>
    <w:lvl w:ilvl="0">
      <w:start w:val="1"/>
      <w:numFmt w:val="bullet"/>
      <w:lvlText w:val="-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num w:numId="1">
    <w:abstractNumId w:val="0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default="1" w:styleId="DefaultParagraphFont">
    <w:name w:val="Default Paragraph Font"/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customStyle="1" w:styleId="CharStyle3">
    <w:name w:val="Основной текст_"/>
    <w:basedOn w:val="DefaultParagraphFont"/>
    <w:link w:val="Style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paragraph" w:customStyle="1" w:styleId="Style2">
    <w:name w:val="Основной текст"/>
    <w:basedOn w:val="Normal"/>
    <w:link w:val="CharStyle3"/>
    <w:pPr>
      <w:widowControl w:val="0"/>
      <w:shd w:val="clear" w:color="auto" w:fill="FFFFFF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>
  <dc:title/>
  <dc:subject/>
  <dc:creator>Пользователь</dc:creator>
  <cp:keywords/>
</cp:coreProperties>
</file>