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3001注册中心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Eureka注册中心是springcloud的核心，管理各种服务功能包括服务的注册、发现、熔断、负载、降级等。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由两个组件组成：Eureka服务器和Eureka客户端。Eureka服务器用作服务注册服务器。Eureka客户端是一个java客户端（我们使用springcloud框架的微服务都是一个eureka客户端），用来简化与服务器的交互、作为轮询负载均衡器，并提供服务的故障切换支持。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用一张图来认识一下：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3190" cy="2548255"/>
            <wp:effectExtent l="0" t="0" r="16510" b="444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上图简要描述了Eureka的基本架构，由3个角色组成：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1、Eureka Server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提供服务注册和发现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2、Service Provider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服务提供方，将自身服务注册到Eureka，从而使服务消费方能够找到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3、Service Consumer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服务消费方，从Eureka获取注册服务列表，从而能够消费服务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微服务与注册中心互动图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9515" cy="6438265"/>
            <wp:effectExtent l="0" t="0" r="635" b="635"/>
            <wp:docPr id="5" name="图片 5" descr="注册中心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中心u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"https://springcloud.cc/spring-cloud-dalston.html"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https://springcloud.cc/spring-cloud-dalston.html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"http://cloud.spring.io/spring-cloud-static/Camden.SR7/"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http://cloud.spring.io/spring-cloud-static/Camden.SR7/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268095"/>
            <wp:effectExtent l="0" t="0" r="3175" b="8255"/>
            <wp:docPr id="2" name="图片 2" descr="15196258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962586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其他微服务注册到注册中心，改服务需要加入@EnableSpringTime的注解</w:t>
      </w:r>
    </w:p>
    <w:p>
      <w:r>
        <w:drawing>
          <wp:inline distT="0" distB="0" distL="114300" distR="114300">
            <wp:extent cx="5271770" cy="5974080"/>
            <wp:effectExtent l="0" t="0" r="508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4"/>
          <w:szCs w:val="24"/>
          <w:lang w:val="en-US" w:eastAsia="zh-CN"/>
        </w:rPr>
        <w:t>另外，需要在resources文件夹下创建bootstrap.yml文件，添加如下配置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3003网关</w:t>
      </w:r>
    </w:p>
    <w:p>
      <w:pPr>
        <w:pStyle w:val="5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群星3003网关的主要功能是路由和过滤器。从</w:t>
      </w:r>
      <w:r>
        <w:rPr>
          <w:rFonts w:hint="eastAsia"/>
          <w:b w:val="0"/>
          <w:bCs w:val="0"/>
          <w:lang w:val="en-US" w:eastAsia="zh-CN"/>
        </w:rPr>
        <w:t>网关工作的流程图</w:t>
      </w:r>
      <w:r>
        <w:rPr>
          <w:rFonts w:hint="eastAsia"/>
          <w:lang w:val="en-US" w:eastAsia="zh-CN"/>
        </w:rPr>
        <w:t>可以看出网关会把外部的请求转发给目标微服务。在转发的过程中，网关的过滤器会对请求进行处理。过滤器主要负责把外部请求转发给鉴权中心，校验该请求是否有访问的权限。除此之外，过滤器还会对微服务的Response和整个流程中的错误进行处</w:t>
      </w:r>
      <w:r>
        <w:rPr>
          <w:rFonts w:hint="eastAsia"/>
          <w:b w:val="0"/>
          <w:bCs w:val="0"/>
          <w:lang w:val="en-US" w:eastAsia="zh-CN"/>
        </w:rPr>
        <w:t>理。这里大致介绍网关的流程，详细情况可以看Spring Cloud 网关的文档。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网关工作的流程图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8565" cy="4228465"/>
            <wp:effectExtent l="0" t="0" r="635" b="635"/>
            <wp:docPr id="1" name="图片 1" descr="网关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关um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网关配置</w:t>
      </w:r>
    </w:p>
    <w:p>
      <w:pPr>
        <w:pStyle w:val="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Style w:val="9"/>
          <w:rFonts w:hint="eastAsia"/>
          <w:lang w:val="en-US" w:eastAsia="zh-CN"/>
        </w:rPr>
        <w:t>在pom文件中添加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spring-cloud-starter-netflix-zuul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模块，然后</w:t>
      </w:r>
      <w:r>
        <w:rPr>
          <w:rStyle w:val="9"/>
          <w:rFonts w:hint="eastAsia"/>
          <w:lang w:val="en-US" w:eastAsia="zh-CN"/>
        </w:rPr>
        <w:t>启动类中使用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@EnableZuulProxy</w:t>
      </w:r>
      <w:r>
        <w:rPr>
          <w:rFonts w:hint="eastAsia" w:cs="宋体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注解，就可以使这个项目具有网关的功能。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网关路由配置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72360" cy="1276350"/>
            <wp:effectExtent l="0" t="0" r="8890" b="0"/>
            <wp:docPr id="3" name="图片 3" descr="QQ截图2018022814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2281453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群星的3003网关中添加对新的微服务的路由，可以参照下图所示范例配置。途中path是外部请求访问网关的api，stripPrefix表示是否要省略前缀，当stripPrefix=true时网关会根据/**之后的地址亲求指定微服务对应的接口，当stripPrefix=false时，网关会请求指定微服务的/api/cfca/**接口。serviceId就是目标微服务注册到注册中心的服务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网关过滤器配置</w:t>
      </w:r>
    </w:p>
    <w:p>
      <w:pPr>
        <w:pStyle w:val="5"/>
      </w:pPr>
      <w:r>
        <w:drawing>
          <wp:inline distT="0" distB="0" distL="114300" distR="114300">
            <wp:extent cx="4295140" cy="3723640"/>
            <wp:effectExtent l="0" t="0" r="1016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的过滤器继承了ZuulFilter。filterType是指过滤的类型，过滤会在哪个步骤进行，pre，routing，post，error分别表示路由之前，路由的时候，路由之后，发生错误的时候。filterOrder是过滤的顺序，shouldFilter表示是否过滤，可以写逻辑判断。run之中是过滤的具体逻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3006配置中心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 Cloud框架中，spring cloud config提供一个服务端和客户端去提供可扩展的配置服务。群星几乎所有接入Spring Cloud的微服务，都从配置中心获取配置。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从配置中心获取配置流程图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7115" cy="3399790"/>
            <wp:effectExtent l="0" t="0" r="635" b="10160"/>
            <wp:docPr id="7" name="图片 7" descr="配置中心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配置中心um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配置中心的运作需要一个服务端和一个客户端。群星3006微服务就是哪个服务端。而所有其他从3006获取配置的微服务都是客户端。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面的流程图所示，3006在启动的时候，会先将自己注册到注册中心上，同时，3006会从群星的git配置仓库获取所有的配置。之后，在微服务A启动的时候，微服务A会把自己注册到注册中心，并从注册中心获取注册列表信息。然后，微服务A会根据获取到的注册列表信息（3006的信息），从配置中心获取自身的配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配置中心配置服务端</w:t>
      </w:r>
    </w:p>
    <w:p>
      <w:pPr>
        <w:pStyle w:val="5"/>
      </w:pPr>
      <w:r>
        <w:drawing>
          <wp:inline distT="0" distB="0" distL="114300" distR="114300">
            <wp:extent cx="4599940" cy="1800225"/>
            <wp:effectExtent l="0" t="0" r="1016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要配置一个配置中心服务端，首先需要在pom文件中增加相应的配置。之后，在微服务的启动类上加上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@EnableConfigServer</w:t>
      </w: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配置开启配置服务器。</w:t>
      </w:r>
    </w:p>
    <w:p>
      <w:pPr>
        <w:pStyle w:val="5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10760" cy="2143125"/>
            <wp:effectExtent l="0" t="0" r="8890" b="9525"/>
            <wp:docPr id="9" name="图片 9" descr="QQ截图2018022817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02281702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在配置文件中加上如下配置：</w:t>
      </w:r>
    </w:p>
    <w:p>
      <w:pPr>
        <w:pStyle w:val="5"/>
        <w:ind w:firstLine="420" w:firstLineChars="0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url表示配置仓库地址</w:t>
      </w:r>
    </w:p>
    <w:p>
      <w:pPr>
        <w:pStyle w:val="5"/>
        <w:ind w:firstLine="420" w:firstLineChars="0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searchPaths表示查询的目录（文件夹），上图表示文件夹是各自的微服务名</w:t>
      </w:r>
    </w:p>
    <w:p>
      <w:pPr>
        <w:pStyle w:val="5"/>
        <w:ind w:firstLine="420" w:firstLineChars="0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username表示访问配置仓库的用户名</w:t>
      </w:r>
    </w:p>
    <w:p>
      <w:pPr>
        <w:pStyle w:val="5"/>
        <w:ind w:firstLine="420" w:firstLineChars="0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password表示访问配置仓库的密码</w:t>
      </w:r>
    </w:p>
    <w:p>
      <w:pPr>
        <w:pStyle w:val="5"/>
        <w:ind w:firstLine="420" w:firstLineChars="0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default-label表示配置中心获取配置的默认分支（branch）</w:t>
      </w:r>
    </w:p>
    <w:p>
      <w:pPr>
        <w:pStyle w:val="5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完成上述配置之后，配置中心基本可以正常工作了。如果一切顺利，访问http://localhost:8888/applicationn/dev应该可以通过配置中心获取到配置仓库中的application-dev.yml文件的配置。</w:t>
      </w:r>
    </w:p>
    <w:p>
      <w:pPr>
        <w:pStyle w:val="5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群星的3006配置中心，因为要服务各个环境，所以会有略微复杂的配置文件，同时，启动类中也会有针对各个环境的代码。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配置中心客户端</w:t>
      </w:r>
    </w:p>
    <w:p>
      <w:pPr>
        <w:pStyle w:val="5"/>
      </w:pPr>
      <w:r>
        <w:drawing>
          <wp:inline distT="0" distB="0" distL="114300" distR="114300">
            <wp:extent cx="4152265" cy="857250"/>
            <wp:effectExtent l="0" t="0" r="63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配置中心服务端只需要上述配置（在SpringTime模块中已经有了，如果引用了SpringTime模块，则不再需要单独引用这个包），启动类上不需要其他特殊的注解。</w:t>
      </w:r>
    </w:p>
    <w:p>
      <w:pPr>
        <w:pStyle w:val="5"/>
      </w:pPr>
      <w:r>
        <w:drawing>
          <wp:inline distT="0" distB="0" distL="114300" distR="114300">
            <wp:extent cx="2780665" cy="1981200"/>
            <wp:effectExtent l="0" t="0" r="63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bootstrap.yml文件中加入连接配置中心服务端的配置。注意，如果微服务将要从配置中心获取的配置，包含微服务启动阶段要使用的数据，那么配置文件就不能用application.yml，而要用bootstrap.yml。因为bootstrap.yml会优先于其他东西加载。如果用application.yml，可能会造成“加载的时候还没获取到配置，然后报错”的情况。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label表示分支（branch）</w:t>
      </w:r>
    </w:p>
    <w:p>
      <w:pPr>
        <w:pStyle w:val="5"/>
        <w:ind w:firstLine="420" w:firstLineChars="0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discovery.enabled表示是否通过服务名发现配置中心</w:t>
      </w:r>
    </w:p>
    <w:p>
      <w:pPr>
        <w:pStyle w:val="5"/>
        <w:ind w:firstLine="420" w:firstLineChars="0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service-id表示配置中心的服务名</w:t>
      </w:r>
    </w:p>
    <w:p>
      <w:pPr>
        <w:pStyle w:val="5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这边省略了name这个配置，这个配置代表了将要被客户端读取的配置文件的文件名，默认值为客户端的服务名。此处为user-service。</w:t>
      </w:r>
    </w:p>
    <w:p>
      <w:pPr>
        <w:pStyle w:val="5"/>
      </w:pPr>
      <w:r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另外，配置中心客户端还有一个profile的配置项，声明了客户端读取的配置文件的后缀。假设我的profile=dev，那么再这个例子中，文件名为user-service-dev的文件会被客户端会读取。但是群星的微服务中，profile没有在配置中声明，而是在程序的启动类中声明的。因为群星有好多环境，我们需要把不同环境的微服务注册到不同环境的注册中心，并读取不同环境的配置。</w:t>
      </w:r>
      <w:r>
        <w:drawing>
          <wp:inline distT="0" distB="0" distL="114300" distR="114300">
            <wp:extent cx="4476115" cy="125730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如上面代码所示，微服务启动的时候，会先从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SpringTimeConfiguration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中获取profile（SpringTime后台会从每个环境的环境变量中获取ENV这个key对应的变量，根据这个变量获取profile），然后再把它加载到微服务中。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配置仓库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群星的配置中心访问的配置仓库，是git上的一个项目，叫config-repo。在这个项目中，每个微服务都有和它服务名相对应的文件夹（对应配置中心服务端配置中的searchPaths）。每个文件夹中有对应的文件，这些文件的后缀都是-dev，因为每个项目启动的时候，都会通过SpringTime加载profile，其中就有dev。</w:t>
      </w:r>
    </w:p>
    <w:p>
      <w:pPr>
        <w:pStyle w:val="5"/>
      </w:pPr>
      <w:r>
        <w:drawing>
          <wp:inline distT="0" distB="0" distL="114300" distR="114300">
            <wp:extent cx="1800225" cy="82867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的几个配置文件，则是公共配置（application这个文件名是默认公共配置），部署在对应环境的微服务，就会读取对应后缀的配置。举个例子，部署在uat环境的微服务，会从uat环境的环境变量中获取到ENV=uat的数据，然后把profile设置成dev，uat。然后微服务就会去读取serviceName-dev.yml，serviceName-uat.yml，application-dev.yml，application-uat.yml这四个文件。因为我们的配置仓库中只有serviceName-dev.yml和application-uat.yml这两个文件，所以只有这两个文件会被读取到。</w:t>
      </w:r>
      <w:bookmarkStart w:id="0" w:name="_GoBack"/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"https://springcloud.cc/spring-cloud-dalston.html"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https://springcloud.cc/spring-cloud-dalston.html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"http://cloud.spring.io/spring-cloud-static/Camden.SR7/"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http://cloud.spring.io/spring-cloud-static/Camden.SR7/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80E6C"/>
    <w:rsid w:val="082F38BD"/>
    <w:rsid w:val="0A2C7782"/>
    <w:rsid w:val="0CB269F0"/>
    <w:rsid w:val="0CE87701"/>
    <w:rsid w:val="10024554"/>
    <w:rsid w:val="13254FB7"/>
    <w:rsid w:val="14A53D86"/>
    <w:rsid w:val="15AF14B1"/>
    <w:rsid w:val="1AD1362E"/>
    <w:rsid w:val="1CC84CA6"/>
    <w:rsid w:val="1D09126D"/>
    <w:rsid w:val="1DC43545"/>
    <w:rsid w:val="1FAA1B60"/>
    <w:rsid w:val="20092A3F"/>
    <w:rsid w:val="221D06BE"/>
    <w:rsid w:val="23DF07B1"/>
    <w:rsid w:val="23FB0B76"/>
    <w:rsid w:val="274B61AA"/>
    <w:rsid w:val="2759730C"/>
    <w:rsid w:val="2B3E566A"/>
    <w:rsid w:val="2C34261B"/>
    <w:rsid w:val="2CE243A6"/>
    <w:rsid w:val="2E8C0473"/>
    <w:rsid w:val="2F49767D"/>
    <w:rsid w:val="2FC81AC9"/>
    <w:rsid w:val="30731698"/>
    <w:rsid w:val="30F2149D"/>
    <w:rsid w:val="328E19F4"/>
    <w:rsid w:val="34F503E1"/>
    <w:rsid w:val="36DD3C9B"/>
    <w:rsid w:val="39D20983"/>
    <w:rsid w:val="3ED4072E"/>
    <w:rsid w:val="40B00FEA"/>
    <w:rsid w:val="46C17340"/>
    <w:rsid w:val="49F955AC"/>
    <w:rsid w:val="4A2F2A5B"/>
    <w:rsid w:val="4C846A3E"/>
    <w:rsid w:val="51996AD2"/>
    <w:rsid w:val="51DA097D"/>
    <w:rsid w:val="52365E48"/>
    <w:rsid w:val="526D7B16"/>
    <w:rsid w:val="52D3125A"/>
    <w:rsid w:val="563E6E2F"/>
    <w:rsid w:val="567F1D8A"/>
    <w:rsid w:val="5B16783B"/>
    <w:rsid w:val="5BD373E7"/>
    <w:rsid w:val="60FD2009"/>
    <w:rsid w:val="61256EB7"/>
    <w:rsid w:val="62DB6E6E"/>
    <w:rsid w:val="63122560"/>
    <w:rsid w:val="6556278C"/>
    <w:rsid w:val="65632A13"/>
    <w:rsid w:val="665C4EAF"/>
    <w:rsid w:val="6717526C"/>
    <w:rsid w:val="68C42521"/>
    <w:rsid w:val="6A637232"/>
    <w:rsid w:val="6ABD43C6"/>
    <w:rsid w:val="6D6F5F44"/>
    <w:rsid w:val="6F4D5EFB"/>
    <w:rsid w:val="737849AA"/>
    <w:rsid w:val="74E451F8"/>
    <w:rsid w:val="75FA0F10"/>
    <w:rsid w:val="76336846"/>
    <w:rsid w:val="771177BF"/>
    <w:rsid w:val="785F6EF5"/>
    <w:rsid w:val="78BE55B0"/>
    <w:rsid w:val="7D952031"/>
    <w:rsid w:val="7E0C6782"/>
    <w:rsid w:val="7F98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link w:val="9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普通(网站) Char"/>
    <w:link w:val="5"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2018-03-01T06:01:40Z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