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15260" cy="2400935"/>
            <wp:effectExtent l="0" t="0" r="8890" b="18415"/>
            <wp:docPr id="2" name="图片 2" descr="QQ截图2018022614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2261455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SpringTime</w:t>
      </w:r>
      <w:r>
        <w:rPr>
          <w:rFonts w:hint="eastAsia"/>
          <w:lang w:val="en-US" w:eastAsia="zh-CN"/>
        </w:rPr>
        <w:t>是群星金融微服务底层框架，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是以Spring Framework和Spring Cloud为核心的，是JavaEE世界中的主流技术选型，最佳实践的总结。</w:t>
      </w:r>
      <w:r>
        <w:rPr>
          <w:rFonts w:hint="eastAsia"/>
          <w:lang w:val="en-US" w:eastAsia="zh-CN"/>
        </w:rPr>
        <w:t>群星系统中，几乎所有基于Spring Cloud框架的服务都会引用SpringTime模块。如图所示，SpringTime可以划分为一下几个模块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api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- 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后台微服务之间互相调用的api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base - 通用的基础对象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常量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以及基础异常类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utils - 常用的工具类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rabbit - 定义rabbitmq的事件和传播对象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core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 结合Spring Framework和Spring Cloud，提供微服务底层统一框架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SpringTime使用</w:t>
      </w:r>
    </w:p>
    <w:p>
      <w:pPr>
        <w:pStyle w:val="5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要使用SpringTime，首先需要在pom文件中添加包的引用。</w:t>
      </w:r>
    </w:p>
    <w:p>
      <w:r>
        <w:drawing>
          <wp:inline distT="0" distB="0" distL="114300" distR="114300">
            <wp:extent cx="3866515" cy="21526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然后在启动类上加上启动注解标签（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@EnableSpringTime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）。除此之外，还需要在微服务启动类中加入环境配置的代码。</w:t>
      </w:r>
      <w:r>
        <w:drawing>
          <wp:inline distT="0" distB="0" distL="114300" distR="114300">
            <wp:extent cx="5273675" cy="2107565"/>
            <wp:effectExtent l="0" t="0" r="3175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br w:type="page"/>
      </w:r>
    </w:p>
    <w:p>
      <w:pPr>
        <w:pStyle w:val="5"/>
        <w:rPr>
          <w:rFonts w:hint="default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5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这个模块主要包括后台微服务之间互相调用，每个微服务供内部调用的接口都在这里。采用了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Spring Framework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中的Feign的方式。每个类上方都会有注解。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@FeignClient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(value =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"loan"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url =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"${service.uri}"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configuration = SpringTimeFeignConfiguration.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pStyle w:val="5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这里的V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alue表示暴露出接口的微服务的服务名，url表示微服务的访问地址，configuration中封装了feign拦截器（包括调用过程中的错误的处理等）。</w:t>
      </w:r>
    </w:p>
    <w:p>
      <w:pPr>
        <w:pStyle w:val="5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假如微服务已经注册到注册中心，则可以不需要url，直接根据value中的服务名找到微服务，如果微服务没有注册到注册中心上，可以通过url来调用接口。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api使用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如果要调用SpringTime模块中定义的接口，首先，要在该项目的pom文件中添加SpringTime及api模块。</w:t>
      </w:r>
    </w:p>
    <w:p>
      <w:pPr>
        <w:pStyle w:val="5"/>
      </w:pPr>
      <w:r>
        <w:drawing>
          <wp:inline distT="0" distB="0" distL="114300" distR="114300">
            <wp:extent cx="3599815" cy="109537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值得一提的是，api模块的版本号，不一定跟SpringTime的版本号相同。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之后在class中注入这个interface，就可以调用了。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定义了一些基础类，常量，以及基础异常类，具体使用方法与api的使用方法类似。</w:t>
      </w:r>
    </w:p>
    <w:p>
      <w:pPr>
        <w:pStyle w:val="5"/>
      </w:pPr>
      <w:r>
        <w:drawing>
          <wp:inline distT="0" distB="0" distL="114300" distR="114300">
            <wp:extent cx="3447415" cy="481901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81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这个模块下，是一些封装的常用的工具类，目前有两个，一个是JsonMapper，一个是BeanMapper。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JsonMapper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JsonMapper</w:t>
      </w:r>
      <w:r>
        <w:rPr>
          <w:rFonts w:hint="eastAsia"/>
          <w:lang w:val="en-US" w:eastAsia="zh-CN"/>
        </w:rPr>
        <w:t>封装了</w:t>
      </w:r>
      <w:r>
        <w:rPr>
          <w:rFonts w:hint="eastAsia"/>
        </w:rPr>
        <w:t>com.fasterxml.jackson</w:t>
      </w:r>
      <w:r>
        <w:rPr>
          <w:rFonts w:hint="eastAsia"/>
          <w:lang w:val="en-US" w:eastAsia="zh-CN"/>
        </w:rPr>
        <w:t>下的方法，便于开发人员日常操作Json格式的数据。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其中的toJson和fromJson这两个方法，可以轻松的将Object和String互相转换。</w:t>
      </w:r>
    </w:p>
    <w:p>
      <w:pPr>
        <w:pStyle w:val="5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使用fromJson的时候，如果想把Json字符串转换成复杂的Object（类似HashMap&lt;String，String&gt;）的时候，可以使用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buildCollectionType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和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buildMapTyp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e方法，获得JavaType，并将String转换成该JavaType。示例代码如下：</w:t>
      </w:r>
    </w:p>
    <w:p>
      <w:pPr>
        <w:pStyle w:val="5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4161790" cy="923925"/>
            <wp:effectExtent l="0" t="0" r="1016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BeanMapper</w:t>
      </w:r>
    </w:p>
    <w:p>
      <w:pPr>
        <w:pStyle w:val="5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BeanMapper封装了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ma.glasnost.orika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下的方法，便于开发人员日常操作Bean的赋值。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其中的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map</w:t>
      </w:r>
      <w:r>
        <w:rPr>
          <w:rFonts w:hint="eastAsia" w:cs="宋体"/>
          <w:color w:val="00000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mapList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这些方法，可以轻松的将object的各项参数赋给另一个有相同属性的object，或者批量操作。示例代码如下：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3733165" cy="885825"/>
            <wp:effectExtent l="0" t="0" r="63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</w:t>
      </w:r>
    </w:p>
    <w:p>
      <w:pPr>
        <w:pStyle w:val="5"/>
        <w:rPr>
          <w:rFonts w:hint="eastAsia"/>
        </w:rPr>
      </w:pPr>
      <w:r>
        <w:rPr>
          <w:rFonts w:hint="eastAsia"/>
        </w:rPr>
        <w:t>定义消息事件场景和传播上下文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3799840"/>
            <wp:effectExtent l="0" t="0" r="1016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core模块是SpringTime中最核心的模块，主要结合Spring Framework和Spring Cloud，提供微服务底层统一框架。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@EnableSpringTime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用于在其他微服务中引入SpringTime的注解。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SpringTimeConfiguration</w:t>
      </w:r>
    </w:p>
    <w:p>
      <w:pPr>
        <w:pStyle w:val="3"/>
      </w:pPr>
      <w:r>
        <w:drawing>
          <wp:inline distT="0" distB="0" distL="114300" distR="114300">
            <wp:extent cx="5271770" cy="2701925"/>
            <wp:effectExtent l="0" t="0" r="5080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@ComponentScan</w:t>
      </w:r>
      <w:r>
        <w:rPr>
          <w:rFonts w:hint="eastAsia"/>
          <w:lang w:val="en-US" w:eastAsia="zh-CN"/>
        </w:rPr>
        <w:t>是扫描加载bean的注解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@Configuration</w:t>
      </w:r>
      <w:r>
        <w:rPr>
          <w:rFonts w:hint="eastAsia"/>
          <w:lang w:val="en-US" w:eastAsia="zh-CN"/>
        </w:rPr>
        <w:t>是扫描加载本class中的bean的注解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@EnableFeignClients</w:t>
      </w:r>
      <w:r>
        <w:rPr>
          <w:rFonts w:hint="eastAsia"/>
          <w:lang w:val="en-US" w:eastAsia="zh-CN"/>
        </w:rPr>
        <w:t>是用于开启feign调用功能的注解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@EnableRetry</w:t>
      </w:r>
      <w:r>
        <w:rPr>
          <w:rFonts w:hint="eastAsia"/>
          <w:lang w:val="en-US" w:eastAsia="zh-CN"/>
        </w:rPr>
        <w:t>开启重试机制的注解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@EnableDiscoveryClient</w:t>
      </w:r>
      <w:r>
        <w:rPr>
          <w:rFonts w:hint="eastAsia"/>
          <w:lang w:val="en-US" w:eastAsia="zh-CN"/>
        </w:rPr>
        <w:t>是服务发现注册的注解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@EnableSwagger2</w:t>
      </w:r>
      <w:r>
        <w:rPr>
          <w:rFonts w:hint="eastAsia"/>
          <w:lang w:val="en-US" w:eastAsia="zh-CN"/>
        </w:rPr>
        <w:t>开启Swagger2的注解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除了这些注解，该类中还定义了restTemplate，ErrorPageFilter和环境配置设置的方法。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SpringTime模块中的环境设置，在每个接入的微服务中都会用到。它的作用是让每个微服务都接入到对应的环境。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定义统一异常处理类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集中处理异常，并打印日志。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feign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拦截器，统一管理userId和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tk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等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数据，以及对feign调用时产生的异常做处理。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自定义的健康检查接口。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interceptor</w:t>
      </w:r>
    </w:p>
    <w:p>
      <w:pPr>
        <w:pStyle w:val="5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统一管理当前用户tk，当前userId，当前customerId等信息的方法（可以通过这个方法在各个非public的微服务中获取当前用户信息），与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SpringTimeFeignConfiguration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联合使用。获取当前userId的示例代码入下所示：</w:t>
      </w:r>
    </w:p>
    <w:p>
      <w:pPr>
        <w:pStyle w:val="5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HttpHeaderAttributes.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(HttpHeaderDTO::getUserId)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Redis中操作人员的库，用于单点/多点登录，和操作人员权限变更时自动登出。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Redis的基础配置，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RedisTemplate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和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RedisCacheManager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等</w:t>
      </w:r>
      <w:r>
        <w:rPr>
          <w:rFonts w:hint="eastAsia"/>
          <w:lang w:val="en-US" w:eastAsia="zh-CN"/>
        </w:rPr>
        <w:t>Bean的初始化。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Swagger的基础配置。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群星自己封装的JPA查询工具类，为数据库的查询提供了部分便利。具体使用方式如下图所示：</w:t>
      </w:r>
    </w:p>
    <w:p>
      <w:r>
        <w:drawing>
          <wp:inline distT="0" distB="0" distL="114300" distR="114300">
            <wp:extent cx="5267960" cy="3347085"/>
            <wp:effectExtent l="0" t="0" r="889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ribbon是Spring Cloud自带的负载均衡。具体参考Spring Cloud文档。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endpo</w:t>
      </w:r>
      <w:r>
        <w:rPr>
          <w:rStyle w:val="8"/>
          <w:rFonts w:hint="eastAsia"/>
        </w:rPr>
        <w:t>int传入参数统一校验</w:t>
      </w:r>
      <w:r>
        <w:rPr>
          <w:rStyle w:val="8"/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9EABA"/>
    <w:multiLevelType w:val="multilevel"/>
    <w:tmpl w:val="33A9E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6E4C"/>
    <w:rsid w:val="01B02894"/>
    <w:rsid w:val="023E43C0"/>
    <w:rsid w:val="08312258"/>
    <w:rsid w:val="0B3762D7"/>
    <w:rsid w:val="0E8C5545"/>
    <w:rsid w:val="0EE00961"/>
    <w:rsid w:val="1517521D"/>
    <w:rsid w:val="15997D07"/>
    <w:rsid w:val="17111CBC"/>
    <w:rsid w:val="17C202C4"/>
    <w:rsid w:val="17E010EC"/>
    <w:rsid w:val="17F341C9"/>
    <w:rsid w:val="18C2421A"/>
    <w:rsid w:val="1DB43C60"/>
    <w:rsid w:val="22840B63"/>
    <w:rsid w:val="245457D9"/>
    <w:rsid w:val="253D6B02"/>
    <w:rsid w:val="25C25E29"/>
    <w:rsid w:val="2B166A40"/>
    <w:rsid w:val="2B620282"/>
    <w:rsid w:val="2F032376"/>
    <w:rsid w:val="2FBC6C70"/>
    <w:rsid w:val="319B5578"/>
    <w:rsid w:val="32153CF3"/>
    <w:rsid w:val="3CFB4B2A"/>
    <w:rsid w:val="3D0623B9"/>
    <w:rsid w:val="3DF51891"/>
    <w:rsid w:val="403B7A23"/>
    <w:rsid w:val="40B21220"/>
    <w:rsid w:val="44C36E2E"/>
    <w:rsid w:val="44F67349"/>
    <w:rsid w:val="46F04C57"/>
    <w:rsid w:val="47C768AF"/>
    <w:rsid w:val="49E20C96"/>
    <w:rsid w:val="4CA466CB"/>
    <w:rsid w:val="4CDB26E4"/>
    <w:rsid w:val="4D335736"/>
    <w:rsid w:val="4F262DD0"/>
    <w:rsid w:val="4F6E6CC8"/>
    <w:rsid w:val="50532631"/>
    <w:rsid w:val="53C26A2F"/>
    <w:rsid w:val="54785D44"/>
    <w:rsid w:val="55ED7BE9"/>
    <w:rsid w:val="590E7F56"/>
    <w:rsid w:val="5AE842E2"/>
    <w:rsid w:val="5D651D3C"/>
    <w:rsid w:val="61C35410"/>
    <w:rsid w:val="62E66271"/>
    <w:rsid w:val="68975D0E"/>
    <w:rsid w:val="6AEB11CB"/>
    <w:rsid w:val="6C682E8E"/>
    <w:rsid w:val="6C777A89"/>
    <w:rsid w:val="6D994918"/>
    <w:rsid w:val="717C777D"/>
    <w:rsid w:val="73AA0657"/>
    <w:rsid w:val="74091667"/>
    <w:rsid w:val="787349C4"/>
    <w:rsid w:val="7B4C4FC6"/>
    <w:rsid w:val="7C660B05"/>
    <w:rsid w:val="7D25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link w:val="8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普通(网站) Char"/>
    <w:link w:val="5"/>
    <w:qFormat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2018-03-01T03:19:20Z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