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widowControl/>
        <w:spacing w:before="20" w:after="120" w:line="240" w:lineRule="auto"/>
      </w:pPr>
      <w:r>
        <w:rPr>
          <w:rFonts w:ascii="Calibri" w:hAnsi="Calibri" w:eastAsia="Calibri"/>
          <w:b/>
          <w:i w:val="0"/>
          <w:color w:val="148A8A"/>
          <w:sz w:val="18"/>
        </w:rPr>
        <w:t>TEKNISK OG PÆDAGOGISK OVERBLIK</w:t>
      </w:r>
    </w:p>
    <w:p>
      <w:pPr>
        <w:keepLines/>
        <w:widowControl/>
        <w:spacing w:before="0" w:after="80" w:line="226" w:lineRule="auto"/>
      </w:pPr>
      <w:r>
        <w:rPr>
          <w:rFonts w:ascii="Calibri" w:hAnsi="Calibri" w:eastAsia="Calibri"/>
          <w:b/>
          <w:i w:val="0"/>
          <w:color w:val="153A5B"/>
          <w:sz w:val="50"/>
        </w:rPr>
        <w:t>Den fysiologiske model</w:t>
        <w:br/>
        <w:t>i Diabetes-Dysten</w:t>
      </w:r>
    </w:p>
    <w:p>
      <w:pPr>
        <w:keepLines/>
        <w:widowControl/>
        <w:spacing w:before="0" w:after="160" w:line="269" w:lineRule="auto"/>
      </w:pPr>
      <w:r>
        <w:rPr>
          <w:rFonts w:ascii="Calibri" w:hAnsi="Calibri" w:eastAsia="Calibri"/>
          <w:b w:val="0"/>
          <w:i w:val="0"/>
          <w:color w:val="5D6B78"/>
          <w:sz w:val="22"/>
        </w:rPr>
        <w:t>Hvad der simuleres, hvordan delmodellerne påvirker hinanden, og hvilke læringsmål modellen gør mulige.</w:t>
      </w:r>
    </w:p>
    <w:tbl>
      <w:tblPr>
        <w:tblW w:type="dxa" w:w="9360"/>
        <w:jc w:val="center"/>
        <w:tblLayout w:type="fixed"/>
        <w:tblLook w:firstColumn="1" w:firstRow="1" w:lastColumn="0" w:lastRow="0" w:noHBand="0" w:noVBand="1" w:val="04A0"/>
      </w:tblPr>
      <w:tblGrid>
        <w:gridCol w:w="9978"/>
      </w:tblGrid>
      <w:tr>
        <w:tc>
          <w:tcPr>
            <w:tcW w:type="dxa" w:w="9978"/>
            <w:shd w:fill="E8F5F4"/>
            <w:tcMar>
              <w:top w:w="105" w:type="dxa"/>
              <w:start w:w="130" w:type="dxa"/>
              <w:bottom w:w="105" w:type="dxa"/>
              <w:end w:w="130" w:type="dxa"/>
            </w:tcMar>
          </w:tcPr>
          <w:p>
            <w:pPr>
              <w:keepLines/>
              <w:widowControl/>
              <w:spacing w:before="0" w:after="0" w:line="259" w:lineRule="auto"/>
            </w:pPr>
            <w:r>
              <w:rPr>
                <w:rFonts w:ascii="Calibri" w:hAnsi="Calibri" w:eastAsia="Calibri"/>
                <w:b/>
                <w:i w:val="0"/>
                <w:color w:val="148A8A"/>
                <w:sz w:val="17"/>
              </w:rPr>
              <w:t xml:space="preserve">MODELSTATUS  </w:t>
            </w:r>
            <w:r>
              <w:rPr>
                <w:rFonts w:ascii="Calibri" w:hAnsi="Calibri" w:eastAsia="Calibri"/>
                <w:b w:val="0"/>
                <w:i w:val="0"/>
                <w:color w:val="22313F"/>
                <w:sz w:val="18"/>
              </w:rPr>
              <w:t>Hybrid undervisningsmodel: en publiceret glukose-insulin-kerne kombineres med litteraturbaserede udvidelser og tydeligt forenklede undervisningsmekanismer. Resultaterne skal forstås som fysiologisk plausible scenarier — ikke som personlige doseringsforslag.</w:t>
            </w:r>
          </w:p>
        </w:tc>
      </w:tr>
    </w:tbl>
    <w:p>
      <w:pPr>
        <w:keepLines/>
        <w:widowControl/>
        <w:spacing w:before="100" w:after="60" w:line="240" w:lineRule="auto"/>
      </w:pPr>
      <w:r>
        <w:rPr>
          <w:rFonts w:ascii="Calibri" w:hAnsi="Calibri" w:eastAsia="Calibri"/>
          <w:b/>
          <w:i w:val="0"/>
          <w:color w:val="2E74B5"/>
          <w:sz w:val="22"/>
        </w:rPr>
        <w:t>Overordnet arkitektur</w:t>
      </w:r>
    </w:p>
    <w:p>
      <w:pPr>
        <w:keepLines w:val="0"/>
        <w:widowControl/>
        <w:spacing w:before="0" w:after="100" w:line="259" w:lineRule="auto"/>
      </w:pPr>
      <w:r>
        <w:rPr>
          <w:rFonts w:ascii="Calibri" w:hAnsi="Calibri" w:eastAsia="Calibri"/>
          <w:b w:val="0"/>
          <w:i w:val="0"/>
          <w:color w:val="22313F"/>
          <w:sz w:val="19"/>
        </w:rPr>
        <w:t>Simulatoren beregner en fælles fysiologisk tilstand i deltrin på højst 1 minut. Glukose, insulin, måltider, aktivitet, stress, glykogen, ketoner og CGM er derfor ikke separate animationer; de læser og ændrer de samme tilstandsvariable. Nettobevægelsen i blodglukose bliver summen af samtidige fluxer ind i og ud af glukosepuljen.</w:t>
      </w:r>
    </w:p>
    <w:p>
      <w:pPr>
        <w:keepLines/>
        <w:widowControl/>
        <w:spacing w:before="100" w:after="60" w:line="240" w:lineRule="auto"/>
      </w:pPr>
      <w:r>
        <w:rPr>
          <w:rFonts w:ascii="Calibri" w:hAnsi="Calibri" w:eastAsia="Calibri"/>
          <w:b/>
          <w:i w:val="0"/>
          <w:color w:val="2E74B5"/>
          <w:sz w:val="22"/>
        </w:rPr>
        <w:t>Hvad simuleres — og hvordan?</w:t>
      </w:r>
    </w:p>
    <w:tbl>
      <w:tblPr>
        <w:tblW w:type="dxa" w:w="9360"/>
        <w:jc w:val="center"/>
        <w:tblLayout w:type="fixed"/>
        <w:tblLook w:firstColumn="1" w:firstRow="1" w:lastColumn="0" w:lastRow="0" w:noHBand="0" w:noVBand="1" w:val="04A0"/>
        <w:tblBorders>
          <w:top w:val="single" w:sz="4" w:color="D8E1E8"/>
          <w:left w:val="single" w:sz="4" w:color="D8E1E8"/>
          <w:bottom w:val="single" w:sz="4" w:color="D8E1E8"/>
          <w:right w:val="single" w:sz="4" w:color="D8E1E8"/>
          <w:insideH w:val="single" w:sz="4" w:color="D8E1E8"/>
          <w:insideV w:val="single" w:sz="4" w:color="D8E1E8"/>
        </w:tblBorders>
      </w:tblPr>
      <w:tblGrid>
        <w:gridCol w:w="1928"/>
        <w:gridCol w:w="7370"/>
      </w:tblGrid>
      <w:tr>
        <w:trPr>
          <w:tblHeader w:val="true"/>
        </w:trPr>
        <w:tc>
          <w:tcPr>
            <w:tcW w:type="dxa" w:w="4989"/>
            <w:shd w:fill="153A5B"/>
            <w:tcMar>
              <w:top w:w="75" w:type="dxa"/>
              <w:start w:w="105" w:type="dxa"/>
              <w:bottom w:w="75" w:type="dxa"/>
              <w:end w:w="105" w:type="dxa"/>
            </w:tcMar>
            <w:vAlign w:val="center"/>
          </w:tcPr>
          <w:p>
            <w:pPr>
              <w:keepLines/>
              <w:widowControl/>
              <w:spacing w:before="0" w:after="0" w:line="240" w:lineRule="auto"/>
            </w:pPr>
            <w:r>
              <w:rPr>
                <w:rFonts w:ascii="Calibri" w:hAnsi="Calibri" w:eastAsia="Calibri"/>
                <w:b/>
                <w:i w:val="0"/>
                <w:color w:val="FFFFFF"/>
                <w:sz w:val="16"/>
              </w:rPr>
              <w:t>Delmodel</w:t>
            </w:r>
          </w:p>
        </w:tc>
        <w:tc>
          <w:tcPr>
            <w:tcW w:type="dxa" w:w="4989"/>
            <w:shd w:fill="153A5B"/>
            <w:tcMar>
              <w:top w:w="75" w:type="dxa"/>
              <w:start w:w="105" w:type="dxa"/>
              <w:bottom w:w="75" w:type="dxa"/>
              <w:end w:w="105" w:type="dxa"/>
            </w:tcMar>
            <w:vAlign w:val="center"/>
          </w:tcPr>
          <w:p>
            <w:pPr>
              <w:keepLines/>
              <w:widowControl/>
              <w:spacing w:before="0" w:after="0" w:line="240" w:lineRule="auto"/>
            </w:pPr>
            <w:r>
              <w:rPr>
                <w:rFonts w:ascii="Calibri" w:hAnsi="Calibri" w:eastAsia="Calibri"/>
                <w:b/>
                <w:i w:val="0"/>
                <w:color w:val="FFFFFF"/>
                <w:sz w:val="16"/>
              </w:rPr>
              <w:t>Repræsentation i simulatoren</w:t>
            </w:r>
          </w:p>
        </w:tc>
      </w:tr>
      <w:tr>
        <w:trPr>
          <w:cantSplit/>
        </w:trPr>
        <w:tc>
          <w:tcPr>
            <w:tcW w:type="dxa" w:w="1928"/>
            <w:tcMar>
              <w:top w:w="56" w:type="dxa"/>
              <w:start w:w="100" w:type="dxa"/>
              <w:bottom w:w="56" w:type="dxa"/>
              <w:end w:w="100" w:type="dxa"/>
            </w:tcMar>
            <w:vAlign w:val="center"/>
          </w:tcPr>
          <w:p>
            <w:pPr>
              <w:keepLines/>
              <w:widowControl/>
              <w:spacing w:before="0" w:after="0" w:line="240" w:lineRule="auto"/>
            </w:pPr>
            <w:r>
              <w:rPr>
                <w:rFonts w:ascii="Calibri" w:hAnsi="Calibri" w:eastAsia="Calibri"/>
                <w:b/>
                <w:i w:val="0"/>
                <w:color w:val="153A5B"/>
                <w:sz w:val="16"/>
              </w:rPr>
              <w:t>Glukose og insulin</w:t>
            </w:r>
          </w:p>
        </w:tc>
        <w:tc>
          <w:tcPr>
            <w:tcW w:type="dxa" w:w="7370"/>
            <w:tcMar>
              <w:top w:w="56" w:type="dxa"/>
              <w:start w:w="100" w:type="dxa"/>
              <w:bottom w:w="56" w:type="dxa"/>
              <w:end w:w="100" w:type="dxa"/>
            </w:tcMar>
            <w:vAlign w:val="center"/>
          </w:tcPr>
          <w:p>
            <w:pPr>
              <w:keepLines/>
              <w:widowControl/>
              <w:spacing w:before="0" w:after="0" w:line="240" w:lineRule="auto"/>
            </w:pPr>
            <w:r>
              <w:rPr>
                <w:rFonts w:ascii="Calibri" w:hAnsi="Calibri" w:eastAsia="Calibri"/>
                <w:b w:val="0"/>
                <w:i w:val="0"/>
                <w:color w:val="22313F"/>
                <w:sz w:val="16"/>
              </w:rPr>
              <w:t>En udvidet Hovorka-kerne med 16 dynamiske tilstande: to glukosekompartmenter, subkutane insulin­depoter, plasma-insulin, tre insulinvirkninger, tarmoptag og CGM-forsinkelse (Hovorka et al. 2004).</w:t>
            </w:r>
          </w:p>
        </w:tc>
      </w:tr>
      <w:tr>
        <w:trPr>
          <w:cantSplit/>
        </w:trPr>
        <w:tc>
          <w:tcPr>
            <w:tcW w:type="dxa" w:w="1928"/>
            <w:shd w:fill="F5F8FB"/>
            <w:tcMar>
              <w:top w:w="56" w:type="dxa"/>
              <w:start w:w="100" w:type="dxa"/>
              <w:bottom w:w="56" w:type="dxa"/>
              <w:end w:w="100" w:type="dxa"/>
            </w:tcMar>
            <w:vAlign w:val="center"/>
          </w:tcPr>
          <w:p>
            <w:pPr>
              <w:keepLines/>
              <w:widowControl/>
              <w:spacing w:before="0" w:after="0" w:line="240" w:lineRule="auto"/>
            </w:pPr>
            <w:r>
              <w:rPr>
                <w:rFonts w:ascii="Calibri" w:hAnsi="Calibri" w:eastAsia="Calibri"/>
                <w:b/>
                <w:i w:val="0"/>
                <w:color w:val="153A5B"/>
                <w:sz w:val="16"/>
              </w:rPr>
              <w:t>Insulindoser</w:t>
            </w:r>
          </w:p>
        </w:tc>
        <w:tc>
          <w:tcPr>
            <w:tcW w:type="dxa" w:w="7370"/>
            <w:shd w:fill="F5F8FB"/>
            <w:tcMar>
              <w:top w:w="56" w:type="dxa"/>
              <w:start w:w="100" w:type="dxa"/>
              <w:bottom w:w="56" w:type="dxa"/>
              <w:end w:w="100" w:type="dxa"/>
            </w:tcMar>
            <w:vAlign w:val="center"/>
          </w:tcPr>
          <w:p>
            <w:pPr>
              <w:keepLines/>
              <w:widowControl/>
              <w:spacing w:before="0" w:after="0" w:line="240" w:lineRule="auto"/>
            </w:pPr>
            <w:r>
              <w:rPr>
                <w:rFonts w:ascii="Calibri" w:hAnsi="Calibri" w:eastAsia="Calibri"/>
                <w:b w:val="0"/>
                <w:i w:val="0"/>
                <w:color w:val="22313F"/>
                <w:sz w:val="16"/>
              </w:rPr>
              <w:t>Hurtig og basal insulin bevæger sig fra subkutant depot til plasma og videre til vævsvirkning. Aktiv insulin (IOB) og kildesporing gør overlappende doser synlige; optagelsen varierer mellem doser (Heinemann 2002).</w:t>
            </w:r>
          </w:p>
        </w:tc>
      </w:tr>
      <w:tr>
        <w:trPr>
          <w:cantSplit/>
        </w:trPr>
        <w:tc>
          <w:tcPr>
            <w:tcW w:type="dxa" w:w="1928"/>
            <w:tcMar>
              <w:top w:w="56" w:type="dxa"/>
              <w:start w:w="100" w:type="dxa"/>
              <w:bottom w:w="56" w:type="dxa"/>
              <w:end w:w="100" w:type="dxa"/>
            </w:tcMar>
            <w:vAlign w:val="center"/>
          </w:tcPr>
          <w:p>
            <w:pPr>
              <w:keepLines/>
              <w:widowControl/>
              <w:spacing w:before="0" w:after="0" w:line="240" w:lineRule="auto"/>
            </w:pPr>
            <w:r>
              <w:rPr>
                <w:rFonts w:ascii="Calibri" w:hAnsi="Calibri" w:eastAsia="Calibri"/>
                <w:b/>
                <w:i w:val="0"/>
                <w:color w:val="153A5B"/>
                <w:sz w:val="16"/>
              </w:rPr>
              <w:t>Mad og fordøjelse</w:t>
            </w:r>
          </w:p>
        </w:tc>
        <w:tc>
          <w:tcPr>
            <w:tcW w:type="dxa" w:w="7370"/>
            <w:tcMar>
              <w:top w:w="56" w:type="dxa"/>
              <w:start w:w="100" w:type="dxa"/>
              <w:bottom w:w="56" w:type="dxa"/>
              <w:end w:w="100" w:type="dxa"/>
            </w:tcMar>
            <w:vAlign w:val="center"/>
          </w:tcPr>
          <w:p>
            <w:pPr>
              <w:keepLines/>
              <w:widowControl/>
              <w:spacing w:before="0" w:after="0" w:line="240" w:lineRule="auto"/>
            </w:pPr>
            <w:r>
              <w:rPr>
                <w:rFonts w:ascii="Calibri" w:hAnsi="Calibri" w:eastAsia="Calibri"/>
                <w:b w:val="0"/>
                <w:i w:val="0"/>
                <w:color w:val="22313F"/>
                <w:sz w:val="16"/>
              </w:rPr>
              <w:t>Kulhydrat deles efter hastighed og måltidsform. Fiber, fedt, protein, væske/fast føde, hyperglykæmi og aktivitet ændrer mavetømning og tarmoptag. Protein og fedt giver desuden forsinkede effekter (Smart et al. 2013; Paterson et al. 2016).</w:t>
            </w:r>
          </w:p>
        </w:tc>
      </w:tr>
      <w:tr>
        <w:trPr>
          <w:cantSplit/>
        </w:trPr>
        <w:tc>
          <w:tcPr>
            <w:tcW w:type="dxa" w:w="1928"/>
            <w:shd w:fill="F5F8FB"/>
            <w:tcMar>
              <w:top w:w="56" w:type="dxa"/>
              <w:start w:w="100" w:type="dxa"/>
              <w:bottom w:w="56" w:type="dxa"/>
              <w:end w:w="100" w:type="dxa"/>
            </w:tcMar>
            <w:vAlign w:val="center"/>
          </w:tcPr>
          <w:p>
            <w:pPr>
              <w:keepLines/>
              <w:widowControl/>
              <w:spacing w:before="0" w:after="0" w:line="240" w:lineRule="auto"/>
            </w:pPr>
            <w:r>
              <w:rPr>
                <w:rFonts w:ascii="Calibri" w:hAnsi="Calibri" w:eastAsia="Calibri"/>
                <w:b/>
                <w:i w:val="0"/>
                <w:color w:val="153A5B"/>
                <w:sz w:val="16"/>
              </w:rPr>
              <w:t>Motion</w:t>
            </w:r>
          </w:p>
        </w:tc>
        <w:tc>
          <w:tcPr>
            <w:tcW w:type="dxa" w:w="7370"/>
            <w:shd w:fill="F5F8FB"/>
            <w:tcMar>
              <w:top w:w="56" w:type="dxa"/>
              <w:start w:w="100" w:type="dxa"/>
              <w:bottom w:w="56" w:type="dxa"/>
              <w:end w:w="100" w:type="dxa"/>
            </w:tcMar>
            <w:vAlign w:val="center"/>
          </w:tcPr>
          <w:p>
            <w:pPr>
              <w:keepLines/>
              <w:widowControl/>
              <w:spacing w:before="0" w:after="0" w:line="240" w:lineRule="auto"/>
            </w:pPr>
            <w:r>
              <w:rPr>
                <w:rFonts w:ascii="Calibri" w:hAnsi="Calibri" w:eastAsia="Calibri"/>
                <w:b w:val="0"/>
                <w:i w:val="0"/>
                <w:color w:val="22313F"/>
                <w:sz w:val="16"/>
              </w:rPr>
              <w:t>Cardio, styrke, mix og afslapning styrer forskellige profiler for muskeloptag, leverglukose, subkutan perfusion, fordøjelse, muskelglykogen og efterfølgende insulinfølsomhed (Riddell et al. 2017).</w:t>
            </w:r>
          </w:p>
        </w:tc>
      </w:tr>
      <w:tr>
        <w:trPr>
          <w:cantSplit/>
        </w:trPr>
        <w:tc>
          <w:tcPr>
            <w:tcW w:type="dxa" w:w="1928"/>
            <w:tcMar>
              <w:top w:w="56" w:type="dxa"/>
              <w:start w:w="100" w:type="dxa"/>
              <w:bottom w:w="56" w:type="dxa"/>
              <w:end w:w="100" w:type="dxa"/>
            </w:tcMar>
            <w:vAlign w:val="center"/>
          </w:tcPr>
          <w:p>
            <w:pPr>
              <w:keepLines/>
              <w:widowControl/>
              <w:spacing w:before="0" w:after="0" w:line="240" w:lineRule="auto"/>
            </w:pPr>
            <w:r>
              <w:rPr>
                <w:rFonts w:ascii="Calibri" w:hAnsi="Calibri" w:eastAsia="Calibri"/>
                <w:b/>
                <w:i w:val="0"/>
                <w:color w:val="153A5B"/>
                <w:sz w:val="16"/>
              </w:rPr>
              <w:t>Regulering</w:t>
            </w:r>
          </w:p>
        </w:tc>
        <w:tc>
          <w:tcPr>
            <w:tcW w:type="dxa" w:w="7370"/>
            <w:tcMar>
              <w:top w:w="56" w:type="dxa"/>
              <w:start w:w="100" w:type="dxa"/>
              <w:bottom w:w="56" w:type="dxa"/>
              <w:end w:w="100" w:type="dxa"/>
            </w:tcMar>
            <w:vAlign w:val="center"/>
          </w:tcPr>
          <w:p>
            <w:pPr>
              <w:keepLines/>
              <w:widowControl/>
              <w:spacing w:before="0" w:after="0" w:line="240" w:lineRule="auto"/>
            </w:pPr>
            <w:r>
              <w:rPr>
                <w:rFonts w:ascii="Calibri" w:hAnsi="Calibri" w:eastAsia="Calibri"/>
                <w:b w:val="0"/>
                <w:i w:val="0"/>
                <w:color w:val="22313F"/>
                <w:sz w:val="16"/>
              </w:rPr>
              <w:t>Døgnrytme, dawn-fænomen, stress, søvnunderskud, modregulation ved hypoglykæmi og hypoglykæmi-associeret autonomt svigt (HAAF) ændrer leverproduktion og insulinvirkning (Donga et al. 2010; Dagogo-Jack et al. 1993).</w:t>
            </w:r>
          </w:p>
        </w:tc>
      </w:tr>
      <w:tr>
        <w:trPr>
          <w:cantSplit/>
        </w:trPr>
        <w:tc>
          <w:tcPr>
            <w:tcW w:type="dxa" w:w="1928"/>
            <w:shd w:fill="F5F8FB"/>
            <w:tcMar>
              <w:top w:w="56" w:type="dxa"/>
              <w:start w:w="100" w:type="dxa"/>
              <w:bottom w:w="56" w:type="dxa"/>
              <w:end w:w="100" w:type="dxa"/>
            </w:tcMar>
            <w:vAlign w:val="center"/>
          </w:tcPr>
          <w:p>
            <w:pPr>
              <w:keepLines/>
              <w:widowControl/>
              <w:spacing w:before="0" w:after="0" w:line="240" w:lineRule="auto"/>
            </w:pPr>
            <w:r>
              <w:rPr>
                <w:rFonts w:ascii="Calibri" w:hAnsi="Calibri" w:eastAsia="Calibri"/>
                <w:b/>
                <w:i w:val="0"/>
                <w:color w:val="153A5B"/>
                <w:sz w:val="16"/>
              </w:rPr>
              <w:t>Insulinmangel og ketoner</w:t>
            </w:r>
          </w:p>
        </w:tc>
        <w:tc>
          <w:tcPr>
            <w:tcW w:type="dxa" w:w="7370"/>
            <w:shd w:fill="F5F8FB"/>
            <w:tcMar>
              <w:top w:w="56" w:type="dxa"/>
              <w:start w:w="100" w:type="dxa"/>
              <w:bottom w:w="56" w:type="dxa"/>
              <w:end w:w="100" w:type="dxa"/>
            </w:tcMar>
            <w:vAlign w:val="center"/>
          </w:tcPr>
          <w:p>
            <w:pPr>
              <w:keepLines/>
              <w:widowControl/>
              <w:spacing w:before="0" w:after="0" w:line="240" w:lineRule="auto"/>
            </w:pPr>
            <w:r>
              <w:rPr>
                <w:rFonts w:ascii="Calibri" w:hAnsi="Calibri" w:eastAsia="Calibri"/>
                <w:b w:val="0"/>
                <w:i w:val="0"/>
                <w:color w:val="22313F"/>
                <w:sz w:val="16"/>
              </w:rPr>
              <w:t>Lav insulinvirkning øger lipolyse, frie fedtsyrer, ketondannelse og en forenklet syrebelastning. Basal insulin kan derfor være afgørende, også før blodglukosen bliver meget høj.</w:t>
            </w:r>
          </w:p>
        </w:tc>
      </w:tr>
      <w:tr>
        <w:trPr>
          <w:cantSplit/>
        </w:trPr>
        <w:tc>
          <w:tcPr>
            <w:tcW w:type="dxa" w:w="1928"/>
            <w:tcMar>
              <w:top w:w="56" w:type="dxa"/>
              <w:start w:w="100" w:type="dxa"/>
              <w:bottom w:w="56" w:type="dxa"/>
              <w:end w:w="100" w:type="dxa"/>
            </w:tcMar>
            <w:vAlign w:val="center"/>
          </w:tcPr>
          <w:p>
            <w:pPr>
              <w:keepLines/>
              <w:widowControl/>
              <w:spacing w:before="0" w:after="0" w:line="240" w:lineRule="auto"/>
            </w:pPr>
            <w:r>
              <w:rPr>
                <w:rFonts w:ascii="Calibri" w:hAnsi="Calibri" w:eastAsia="Calibri"/>
                <w:b/>
                <w:i w:val="0"/>
                <w:color w:val="153A5B"/>
                <w:sz w:val="16"/>
              </w:rPr>
              <w:t>Måling og variation</w:t>
            </w:r>
          </w:p>
        </w:tc>
        <w:tc>
          <w:tcPr>
            <w:tcW w:type="dxa" w:w="7370"/>
            <w:tcMar>
              <w:top w:w="56" w:type="dxa"/>
              <w:start w:w="100" w:type="dxa"/>
              <w:bottom w:w="56" w:type="dxa"/>
              <w:end w:w="100" w:type="dxa"/>
            </w:tcMar>
            <w:vAlign w:val="center"/>
          </w:tcPr>
          <w:p>
            <w:pPr>
              <w:keepLines/>
              <w:widowControl/>
              <w:spacing w:before="0" w:after="0" w:line="240" w:lineRule="auto"/>
            </w:pPr>
            <w:r>
              <w:rPr>
                <w:rFonts w:ascii="Calibri" w:hAnsi="Calibri" w:eastAsia="Calibri"/>
                <w:b w:val="0"/>
                <w:i w:val="0"/>
                <w:color w:val="22313F"/>
                <w:sz w:val="16"/>
              </w:rPr>
              <w:t>Sand blodglukose holdes adskilt fra CGM, som har tidsforsinkelse og støj. Dag-til-dag-variation gør gentagne, ellers ens forsøg forskellige og understøtter træning i trendfortolkning.</w:t>
            </w:r>
          </w:p>
        </w:tc>
      </w:tr>
    </w:tbl>
    <w:p>
      <w:pPr>
        <w:widowControl/>
      </w:pPr>
      <w:r>
        <w:br w:type="page"/>
      </w:r>
    </w:p>
    <w:p>
      <w:pPr>
        <w:keepLines/>
        <w:widowControl/>
        <w:spacing w:before="40" w:after="100" w:line="240" w:lineRule="auto"/>
      </w:pPr>
      <w:r>
        <w:rPr>
          <w:rFonts w:ascii="Calibri" w:hAnsi="Calibri" w:eastAsia="Calibri"/>
          <w:b/>
          <w:i w:val="0"/>
          <w:color w:val="148A8A"/>
          <w:sz w:val="25"/>
        </w:rPr>
        <w:t xml:space="preserve">02  </w:t>
      </w:r>
      <w:r>
        <w:rPr>
          <w:rFonts w:ascii="Calibri" w:hAnsi="Calibri" w:eastAsia="Calibri"/>
          <w:b/>
          <w:i w:val="0"/>
          <w:color w:val="153A5B"/>
          <w:sz w:val="33"/>
        </w:rPr>
        <w:t>Delmodellerne virker gennem hinanden</w:t>
      </w:r>
      <w:r>
        <w:rPr>
          <w:rFonts w:ascii="Calibri" w:hAnsi="Calibri" w:eastAsia="Calibri"/>
          <w:b w:val="0"/>
          <w:i w:val="0"/>
          <w:color w:val="5D6B78"/>
          <w:sz w:val="17"/>
        </w:rPr>
        <w:br/>
        <w:t>Én handling kan samtidigt ændre flere fysiologiske processer med forskellig retning og tidsprofil.</w:t>
      </w:r>
    </w:p>
    <w:p>
      <w:pPr>
        <w:keepLines w:val="0"/>
        <w:widowControl/>
        <w:spacing w:before="0" w:after="100" w:line="259" w:lineRule="auto"/>
      </w:pPr>
      <w:r>
        <w:rPr>
          <w:rFonts w:ascii="Calibri" w:hAnsi="Calibri" w:eastAsia="Calibri"/>
          <w:b w:val="0"/>
          <w:i w:val="0"/>
          <w:color w:val="22313F"/>
          <w:sz w:val="19"/>
        </w:rPr>
        <w:t>Blodglukosen bestemmes ikke af én regel som »motion sænker glukose«. Simulatoren beregner i stedet konkurrerende virkninger: muskeloptag kan trække ned, mens leveren frigiver glukose; hurtigere insulinoptag kan forstærke faldet, mens forsinket fordøjelse kan udskyde tilførslen fra et måltid. Derfor kan samme aktivitet give forskellige forløb afhængigt af insulin om bord, tidspunkt, intensitet og måltid.</w:t>
      </w:r>
    </w:p>
    <w:p>
      <w:pPr>
        <w:keepLines/>
        <w:widowControl/>
        <w:spacing w:before="100" w:after="60" w:line="240" w:lineRule="auto"/>
      </w:pPr>
      <w:r>
        <w:rPr>
          <w:rFonts w:ascii="Calibri" w:hAnsi="Calibri" w:eastAsia="Calibri"/>
          <w:b/>
          <w:i w:val="0"/>
          <w:color w:val="2E74B5"/>
          <w:sz w:val="22"/>
        </w:rPr>
        <w:t>Sport som eksempel på en flerleddet påvirkning</w:t>
      </w:r>
    </w:p>
    <w:tbl>
      <w:tblPr>
        <w:tblW w:type="dxa" w:w="9360"/>
        <w:jc w:val="center"/>
        <w:tblLayout w:type="fixed"/>
        <w:tblLook w:firstColumn="1" w:firstRow="1" w:lastColumn="0" w:lastRow="0" w:noHBand="0" w:noVBand="1" w:val="04A0"/>
        <w:tblBorders>
          <w:top w:val="single" w:sz="3" w:color="CBD9E3"/>
          <w:left w:val="single" w:sz="3" w:color="CBD9E3"/>
          <w:bottom w:val="single" w:sz="3" w:color="CBD9E3"/>
          <w:right w:val="single" w:sz="3" w:color="CBD9E3"/>
          <w:insideH w:val="single" w:sz="3" w:color="CBD9E3"/>
          <w:insideV w:val="single" w:sz="3" w:color="CBD9E3"/>
        </w:tblBorders>
      </w:tblPr>
      <w:tblGrid>
        <w:gridCol w:w="2268"/>
        <w:gridCol w:w="7030"/>
      </w:tblGrid>
      <w:tr>
        <w:trPr>
          <w:cantSplit/>
        </w:trPr>
        <w:tc>
          <w:tcPr>
            <w:tcW w:type="dxa" w:w="2268"/>
            <w:shd w:fill="E8F5F4"/>
            <w:tcMar>
              <w:top w:w="70" w:type="dxa"/>
              <w:start w:w="105" w:type="dxa"/>
              <w:bottom w:w="70" w:type="dxa"/>
              <w:end w:w="105" w:type="dxa"/>
            </w:tcMar>
            <w:vAlign w:val="center"/>
          </w:tcPr>
          <w:p>
            <w:pPr>
              <w:keepLines/>
              <w:widowControl/>
              <w:spacing w:before="0" w:after="0" w:line="240" w:lineRule="auto"/>
            </w:pPr>
            <w:r>
              <w:rPr>
                <w:rFonts w:ascii="Calibri" w:hAnsi="Calibri" w:eastAsia="Calibri"/>
                <w:b/>
                <w:i w:val="0"/>
                <w:color w:val="148A8A"/>
                <w:sz w:val="16"/>
              </w:rPr>
              <w:t>1. Arbejdende muskel</w:t>
            </w:r>
          </w:p>
        </w:tc>
        <w:tc>
          <w:tcPr>
            <w:tcW w:type="dxa" w:w="7030"/>
            <w:shd w:fill="F5F8FB"/>
            <w:tcMar>
              <w:top w:w="70" w:type="dxa"/>
              <w:start w:w="105" w:type="dxa"/>
              <w:bottom w:w="70" w:type="dxa"/>
              <w:end w:w="105" w:type="dxa"/>
            </w:tcMar>
            <w:vAlign w:val="center"/>
          </w:tcPr>
          <w:p>
            <w:pPr>
              <w:keepLines/>
              <w:widowControl/>
              <w:spacing w:before="0" w:after="0" w:line="245" w:lineRule="auto"/>
            </w:pPr>
            <w:r>
              <w:rPr>
                <w:rFonts w:ascii="Calibri" w:hAnsi="Calibri" w:eastAsia="Calibri"/>
                <w:b w:val="0"/>
                <w:i w:val="0"/>
                <w:color w:val="22313F"/>
                <w:sz w:val="16"/>
              </w:rPr>
              <w:t>Kontraktion aktiverer et insulin-uafhængigt glukoseoptag. Effekten følger intensitet og puls og er modelleret som en Resalat-inspireret aktivitetstilstand (Resalat et al. 2020).</w:t>
            </w:r>
          </w:p>
        </w:tc>
      </w:tr>
      <w:tr>
        <w:trPr>
          <w:cantSplit/>
        </w:trPr>
        <w:tc>
          <w:tcPr>
            <w:tcW w:type="dxa" w:w="2268"/>
            <w:shd w:fill="EEF7F7"/>
            <w:tcMar>
              <w:top w:w="70" w:type="dxa"/>
              <w:start w:w="105" w:type="dxa"/>
              <w:bottom w:w="70" w:type="dxa"/>
              <w:end w:w="105" w:type="dxa"/>
            </w:tcMar>
            <w:vAlign w:val="center"/>
          </w:tcPr>
          <w:p>
            <w:pPr>
              <w:keepLines/>
              <w:widowControl/>
              <w:spacing w:before="0" w:after="0" w:line="240" w:lineRule="auto"/>
            </w:pPr>
            <w:r>
              <w:rPr>
                <w:rFonts w:ascii="Calibri" w:hAnsi="Calibri" w:eastAsia="Calibri"/>
                <w:b/>
                <w:i w:val="0"/>
                <w:color w:val="148A8A"/>
                <w:sz w:val="16"/>
              </w:rPr>
              <w:t>2. Lever og hormoner</w:t>
            </w:r>
          </w:p>
        </w:tc>
        <w:tc>
          <w:tcPr>
            <w:tcW w:type="dxa" w:w="7030"/>
            <w:shd w:fill="FFFFFF"/>
            <w:tcMar>
              <w:top w:w="70" w:type="dxa"/>
              <w:start w:w="105" w:type="dxa"/>
              <w:bottom w:w="70" w:type="dxa"/>
              <w:end w:w="105" w:type="dxa"/>
            </w:tcMar>
            <w:vAlign w:val="center"/>
          </w:tcPr>
          <w:p>
            <w:pPr>
              <w:keepLines/>
              <w:widowControl/>
              <w:spacing w:before="0" w:after="0" w:line="245" w:lineRule="auto"/>
            </w:pPr>
            <w:r>
              <w:rPr>
                <w:rFonts w:ascii="Calibri" w:hAnsi="Calibri" w:eastAsia="Calibri"/>
                <w:b w:val="0"/>
                <w:i w:val="0"/>
                <w:color w:val="22313F"/>
                <w:sz w:val="16"/>
              </w:rPr>
              <w:t>Katekolamin- og substratdrevet leverproduktion kan kompensere for muskeloptaget. Den er større ved intensivt arbejde og styrke, så akut glukose kan falde mindre, være stabil eller stige (Yardley et al. 2013; Young et al. 2023).</w:t>
            </w:r>
          </w:p>
        </w:tc>
      </w:tr>
      <w:tr>
        <w:trPr>
          <w:cantSplit/>
        </w:trPr>
        <w:tc>
          <w:tcPr>
            <w:tcW w:type="dxa" w:w="2268"/>
            <w:shd w:fill="E8F5F4"/>
            <w:tcMar>
              <w:top w:w="70" w:type="dxa"/>
              <w:start w:w="105" w:type="dxa"/>
              <w:bottom w:w="70" w:type="dxa"/>
              <w:end w:w="105" w:type="dxa"/>
            </w:tcMar>
            <w:vAlign w:val="center"/>
          </w:tcPr>
          <w:p>
            <w:pPr>
              <w:keepLines/>
              <w:widowControl/>
              <w:spacing w:before="0" w:after="0" w:line="240" w:lineRule="auto"/>
            </w:pPr>
            <w:r>
              <w:rPr>
                <w:rFonts w:ascii="Calibri" w:hAnsi="Calibri" w:eastAsia="Calibri"/>
                <w:b/>
                <w:i w:val="0"/>
                <w:color w:val="148A8A"/>
                <w:sz w:val="16"/>
              </w:rPr>
              <w:t>3. Subkutan perfusion</w:t>
            </w:r>
          </w:p>
        </w:tc>
        <w:tc>
          <w:tcPr>
            <w:tcW w:type="dxa" w:w="7030"/>
            <w:shd w:fill="F5F8FB"/>
            <w:tcMar>
              <w:top w:w="70" w:type="dxa"/>
              <w:start w:w="105" w:type="dxa"/>
              <w:bottom w:w="70" w:type="dxa"/>
              <w:end w:w="105" w:type="dxa"/>
            </w:tcMar>
            <w:vAlign w:val="center"/>
          </w:tcPr>
          <w:p>
            <w:pPr>
              <w:keepLines/>
              <w:widowControl/>
              <w:spacing w:before="0" w:after="0" w:line="245" w:lineRule="auto"/>
            </w:pPr>
            <w:r>
              <w:rPr>
                <w:rFonts w:ascii="Calibri" w:hAnsi="Calibri" w:eastAsia="Calibri"/>
                <w:b w:val="0"/>
                <w:i w:val="0"/>
                <w:color w:val="22313F"/>
                <w:sz w:val="16"/>
              </w:rPr>
              <w:t>Puls og aktivitetsprofil øger blodgennemstrømningen omkring insulin­depotet. Hurtigere optagelse til plasma kan gøre aktiv insulin mere potent under og kort efter træning (Heinemann 2002).</w:t>
            </w:r>
          </w:p>
        </w:tc>
      </w:tr>
      <w:tr>
        <w:trPr>
          <w:cantSplit/>
        </w:trPr>
        <w:tc>
          <w:tcPr>
            <w:tcW w:type="dxa" w:w="2268"/>
            <w:shd w:fill="EEF7F7"/>
            <w:tcMar>
              <w:top w:w="70" w:type="dxa"/>
              <w:start w:w="105" w:type="dxa"/>
              <w:bottom w:w="70" w:type="dxa"/>
              <w:end w:w="105" w:type="dxa"/>
            </w:tcMar>
            <w:vAlign w:val="center"/>
          </w:tcPr>
          <w:p>
            <w:pPr>
              <w:keepLines/>
              <w:widowControl/>
              <w:spacing w:before="0" w:after="0" w:line="240" w:lineRule="auto"/>
            </w:pPr>
            <w:r>
              <w:rPr>
                <w:rFonts w:ascii="Calibri" w:hAnsi="Calibri" w:eastAsia="Calibri"/>
                <w:b/>
                <w:i w:val="0"/>
                <w:color w:val="148A8A"/>
                <w:sz w:val="16"/>
              </w:rPr>
              <w:t>4. Mave og tarm</w:t>
            </w:r>
          </w:p>
        </w:tc>
        <w:tc>
          <w:tcPr>
            <w:tcW w:type="dxa" w:w="7030"/>
            <w:shd w:fill="FFFFFF"/>
            <w:tcMar>
              <w:top w:w="70" w:type="dxa"/>
              <w:start w:w="105" w:type="dxa"/>
              <w:bottom w:w="70" w:type="dxa"/>
              <w:end w:w="105" w:type="dxa"/>
            </w:tcMar>
            <w:vAlign w:val="center"/>
          </w:tcPr>
          <w:p>
            <w:pPr>
              <w:keepLines/>
              <w:widowControl/>
              <w:spacing w:before="0" w:after="0" w:line="245" w:lineRule="auto"/>
            </w:pPr>
            <w:r>
              <w:rPr>
                <w:rFonts w:ascii="Calibri" w:hAnsi="Calibri" w:eastAsia="Calibri"/>
                <w:b w:val="0"/>
                <w:i w:val="0"/>
                <w:color w:val="22313F"/>
                <w:sz w:val="16"/>
              </w:rPr>
              <w:t>Høj intensitet kan forsinke mavetømning og samtidig reducere splanchnisk blodgennemstrømning til mave-tarm-systemet og intestinal absorption. Glukose fra en snack kan derfor komme senere end forventet (Qamar &amp; Read 1987; Leiper et al. 2001).</w:t>
            </w:r>
          </w:p>
        </w:tc>
      </w:tr>
      <w:tr>
        <w:trPr>
          <w:cantSplit/>
        </w:trPr>
        <w:tc>
          <w:tcPr>
            <w:tcW w:type="dxa" w:w="2268"/>
            <w:shd w:fill="E8F5F4"/>
            <w:tcMar>
              <w:top w:w="70" w:type="dxa"/>
              <w:start w:w="105" w:type="dxa"/>
              <w:bottom w:w="70" w:type="dxa"/>
              <w:end w:w="105" w:type="dxa"/>
            </w:tcMar>
            <w:vAlign w:val="center"/>
          </w:tcPr>
          <w:p>
            <w:pPr>
              <w:keepLines/>
              <w:widowControl/>
              <w:spacing w:before="0" w:after="0" w:line="240" w:lineRule="auto"/>
            </w:pPr>
            <w:r>
              <w:rPr>
                <w:rFonts w:ascii="Calibri" w:hAnsi="Calibri" w:eastAsia="Calibri"/>
                <w:b/>
                <w:i w:val="0"/>
                <w:color w:val="148A8A"/>
                <w:sz w:val="16"/>
              </w:rPr>
              <w:t>5. Glykogen og eftereffekt</w:t>
            </w:r>
          </w:p>
        </w:tc>
        <w:tc>
          <w:tcPr>
            <w:tcW w:type="dxa" w:w="7030"/>
            <w:shd w:fill="F5F8FB"/>
            <w:tcMar>
              <w:top w:w="70" w:type="dxa"/>
              <w:start w:w="105" w:type="dxa"/>
              <w:bottom w:w="70" w:type="dxa"/>
              <w:end w:w="105" w:type="dxa"/>
            </w:tcMar>
            <w:vAlign w:val="center"/>
          </w:tcPr>
          <w:p>
            <w:pPr>
              <w:keepLines/>
              <w:widowControl/>
              <w:spacing w:before="0" w:after="0" w:line="245" w:lineRule="auto"/>
            </w:pPr>
            <w:r>
              <w:rPr>
                <w:rFonts w:ascii="Calibri" w:hAnsi="Calibri" w:eastAsia="Calibri"/>
                <w:b w:val="0"/>
                <w:i w:val="0"/>
                <w:color w:val="22313F"/>
                <w:sz w:val="16"/>
              </w:rPr>
              <w:t>Muskelglykogen forbruges og genopbygges efter træning. Det kobles til en tidlig og en langsommere øgning i insulinfølsomhed, som kan påvirke glukose flere timer senere (Riddell et al. 2017).</w:t>
            </w:r>
          </w:p>
        </w:tc>
      </w:tr>
    </w:tbl>
    <w:tbl>
      <w:tblPr>
        <w:tblW w:type="dxa" w:w="9360"/>
        <w:jc w:val="center"/>
        <w:tblLayout w:type="fixed"/>
        <w:tblLook w:firstColumn="1" w:firstRow="1" w:lastColumn="0" w:lastRow="0" w:noHBand="0" w:noVBand="1" w:val="04A0"/>
      </w:tblPr>
      <w:tblGrid>
        <w:gridCol w:w="9978"/>
      </w:tblGrid>
      <w:tr>
        <w:tc>
          <w:tcPr>
            <w:tcW w:type="dxa" w:w="9978"/>
            <w:shd w:fill="EAF2F8"/>
            <w:tcMar>
              <w:top w:w="105" w:type="dxa"/>
              <w:start w:w="130" w:type="dxa"/>
              <w:bottom w:w="105" w:type="dxa"/>
              <w:end w:w="130" w:type="dxa"/>
            </w:tcMar>
          </w:tcPr>
          <w:p>
            <w:pPr>
              <w:keepLines/>
              <w:widowControl/>
              <w:spacing w:before="0" w:after="0" w:line="259" w:lineRule="auto"/>
            </w:pPr>
            <w:r>
              <w:rPr>
                <w:rFonts w:ascii="Calibri" w:hAnsi="Calibri" w:eastAsia="Calibri"/>
                <w:b/>
                <w:i w:val="0"/>
                <w:color w:val="2E74B5"/>
                <w:sz w:val="17"/>
              </w:rPr>
              <w:t xml:space="preserve">KONSEKVENS  </w:t>
            </w:r>
            <w:r>
              <w:rPr>
                <w:rFonts w:ascii="Calibri" w:hAnsi="Calibri" w:eastAsia="Calibri"/>
                <w:b w:val="0"/>
                <w:i w:val="0"/>
                <w:color w:val="22313F"/>
                <w:sz w:val="18"/>
              </w:rPr>
              <w:t>Den akutte effekt og eftereffekten kan have forskellig retning. Styrketræning kan eksempelvis give mindre fald under selve aktiviteten end cardio, men stadig øge glukoseoptaget senere. Modellen gør netop denne tidsmæssige adskillelse synlig.</w:t>
            </w:r>
          </w:p>
        </w:tc>
      </w:tr>
    </w:tbl>
    <w:p>
      <w:pPr>
        <w:keepLines/>
        <w:widowControl/>
        <w:spacing w:before="100" w:after="60" w:line="240" w:lineRule="auto"/>
      </w:pPr>
      <w:r>
        <w:rPr>
          <w:rFonts w:ascii="Calibri" w:hAnsi="Calibri" w:eastAsia="Calibri"/>
          <w:b/>
          <w:i w:val="0"/>
          <w:color w:val="2E74B5"/>
          <w:sz w:val="22"/>
        </w:rPr>
        <w:t>Sådan adskilles aktivitetstyperne</w:t>
      </w:r>
    </w:p>
    <w:tbl>
      <w:tblPr>
        <w:tblW w:type="dxa" w:w="9360"/>
        <w:jc w:val="center"/>
        <w:tblLayout w:type="fixed"/>
        <w:tblLook w:firstColumn="1" w:firstRow="1" w:lastColumn="0" w:lastRow="0" w:noHBand="0" w:noVBand="1" w:val="04A0"/>
        <w:tblBorders>
          <w:top w:val="single" w:sz="4" w:color="D8E1E8"/>
          <w:left w:val="single" w:sz="4" w:color="D8E1E8"/>
          <w:bottom w:val="single" w:sz="4" w:color="D8E1E8"/>
          <w:right w:val="single" w:sz="4" w:color="D8E1E8"/>
          <w:insideH w:val="single" w:sz="4" w:color="D8E1E8"/>
          <w:insideV w:val="single" w:sz="4" w:color="D8E1E8"/>
        </w:tblBorders>
      </w:tblPr>
      <w:tblGrid>
        <w:gridCol w:w="1247"/>
        <w:gridCol w:w="4932"/>
        <w:gridCol w:w="3118"/>
      </w:tblGrid>
      <w:tr>
        <w:trPr>
          <w:tblHeader w:val="true"/>
        </w:trPr>
        <w:tc>
          <w:tcPr>
            <w:tcW w:type="dxa" w:w="3326"/>
            <w:shd w:fill="153A5B"/>
            <w:tcMar>
              <w:top w:w="65" w:type="dxa"/>
              <w:start w:w="95" w:type="dxa"/>
              <w:bottom w:w="65" w:type="dxa"/>
              <w:end w:w="95" w:type="dxa"/>
            </w:tcMar>
          </w:tcPr>
          <w:p>
            <w:pPr>
              <w:keepLines/>
              <w:widowControl/>
              <w:spacing w:before="0" w:after="0" w:line="240" w:lineRule="auto"/>
            </w:pPr>
            <w:r>
              <w:rPr>
                <w:rFonts w:ascii="Calibri" w:hAnsi="Calibri" w:eastAsia="Calibri"/>
                <w:b/>
                <w:i w:val="0"/>
                <w:color w:val="FFFFFF"/>
                <w:sz w:val="16"/>
              </w:rPr>
              <w:t>Type</w:t>
            </w:r>
          </w:p>
        </w:tc>
        <w:tc>
          <w:tcPr>
            <w:tcW w:type="dxa" w:w="3326"/>
            <w:shd w:fill="153A5B"/>
            <w:tcMar>
              <w:top w:w="65" w:type="dxa"/>
              <w:start w:w="95" w:type="dxa"/>
              <w:bottom w:w="65" w:type="dxa"/>
              <w:end w:w="95" w:type="dxa"/>
            </w:tcMar>
          </w:tcPr>
          <w:p>
            <w:pPr>
              <w:keepLines/>
              <w:widowControl/>
              <w:spacing w:before="0" w:after="0" w:line="240" w:lineRule="auto"/>
            </w:pPr>
            <w:r>
              <w:rPr>
                <w:rFonts w:ascii="Calibri" w:hAnsi="Calibri" w:eastAsia="Calibri"/>
                <w:b/>
                <w:i w:val="0"/>
                <w:color w:val="FFFFFF"/>
                <w:sz w:val="16"/>
              </w:rPr>
              <w:t>Dominerende koblinger</w:t>
            </w:r>
          </w:p>
        </w:tc>
        <w:tc>
          <w:tcPr>
            <w:tcW w:type="dxa" w:w="3326"/>
            <w:shd w:fill="153A5B"/>
            <w:tcMar>
              <w:top w:w="65" w:type="dxa"/>
              <w:start w:w="95" w:type="dxa"/>
              <w:bottom w:w="65" w:type="dxa"/>
              <w:end w:w="95" w:type="dxa"/>
            </w:tcMar>
          </w:tcPr>
          <w:p>
            <w:pPr>
              <w:keepLines/>
              <w:widowControl/>
              <w:spacing w:before="0" w:after="0" w:line="240" w:lineRule="auto"/>
            </w:pPr>
            <w:r>
              <w:rPr>
                <w:rFonts w:ascii="Calibri" w:hAnsi="Calibri" w:eastAsia="Calibri"/>
                <w:b/>
                <w:i w:val="0"/>
                <w:color w:val="FFFFFF"/>
                <w:sz w:val="16"/>
              </w:rPr>
              <w:t>Typisk mønster</w:t>
            </w:r>
          </w:p>
        </w:tc>
      </w:tr>
      <w:tr>
        <w:trPr>
          <w:cantSplit/>
        </w:trPr>
        <w:tc>
          <w:tcPr>
            <w:tcW w:type="dxa" w:w="1247"/>
            <w:tcMar>
              <w:top w:w="52" w:type="dxa"/>
              <w:start w:w="90" w:type="dxa"/>
              <w:bottom w:w="52" w:type="dxa"/>
              <w:end w:w="90" w:type="dxa"/>
            </w:tcMar>
            <w:vAlign w:val="center"/>
          </w:tcPr>
          <w:p>
            <w:pPr>
              <w:keepLines/>
              <w:widowControl/>
              <w:spacing w:before="0" w:after="0" w:line="240" w:lineRule="auto"/>
            </w:pPr>
            <w:r>
              <w:rPr>
                <w:rFonts w:ascii="Calibri" w:hAnsi="Calibri" w:eastAsia="Calibri"/>
                <w:b/>
                <w:i w:val="0"/>
                <w:color w:val="153A5B"/>
                <w:sz w:val="15"/>
              </w:rPr>
              <w:t>Cardio</w:t>
            </w:r>
          </w:p>
        </w:tc>
        <w:tc>
          <w:tcPr>
            <w:tcW w:type="dxa" w:w="4932"/>
            <w:tcMar>
              <w:top w:w="52" w:type="dxa"/>
              <w:start w:w="90" w:type="dxa"/>
              <w:bottom w:w="52" w:type="dxa"/>
              <w:end w:w="90" w:type="dxa"/>
            </w:tcMar>
            <w:vAlign w:val="center"/>
          </w:tcPr>
          <w:p>
            <w:pPr>
              <w:keepLines/>
              <w:widowControl/>
              <w:spacing w:before="0" w:after="0" w:line="240" w:lineRule="auto"/>
            </w:pPr>
            <w:r>
              <w:rPr>
                <w:rFonts w:ascii="Calibri" w:hAnsi="Calibri" w:eastAsia="Calibri"/>
                <w:b w:val="0"/>
                <w:i w:val="0"/>
                <w:color w:val="22313F"/>
                <w:sz w:val="15"/>
              </w:rPr>
              <w:t>Stort vedvarende muskeloptag; levermodspil afhænger af intensitet. Aktiv insulin og accelereret depotoptag kan give et hurtigt fald.</w:t>
            </w:r>
          </w:p>
        </w:tc>
        <w:tc>
          <w:tcPr>
            <w:tcW w:type="dxa" w:w="3118"/>
            <w:tcMar>
              <w:top w:w="52" w:type="dxa"/>
              <w:start w:w="90" w:type="dxa"/>
              <w:bottom w:w="52" w:type="dxa"/>
              <w:end w:w="90" w:type="dxa"/>
            </w:tcMar>
            <w:vAlign w:val="center"/>
          </w:tcPr>
          <w:p>
            <w:pPr>
              <w:keepLines/>
              <w:widowControl/>
              <w:spacing w:before="0" w:after="0" w:line="240" w:lineRule="auto"/>
            </w:pPr>
            <w:r>
              <w:rPr>
                <w:rFonts w:ascii="Calibri" w:hAnsi="Calibri" w:eastAsia="Calibri"/>
                <w:b w:val="0"/>
                <w:i w:val="0"/>
                <w:color w:val="22313F"/>
                <w:sz w:val="15"/>
              </w:rPr>
              <w:t>Ofte fald under aktivitet og øget følsomhed bagefter.</w:t>
            </w:r>
          </w:p>
        </w:tc>
      </w:tr>
      <w:tr>
        <w:trPr>
          <w:cantSplit/>
        </w:trPr>
        <w:tc>
          <w:tcPr>
            <w:tcW w:type="dxa" w:w="1247"/>
            <w:shd w:fill="F5F8FB"/>
            <w:tcMar>
              <w:top w:w="52" w:type="dxa"/>
              <w:start w:w="90" w:type="dxa"/>
              <w:bottom w:w="52" w:type="dxa"/>
              <w:end w:w="90" w:type="dxa"/>
            </w:tcMar>
            <w:vAlign w:val="center"/>
          </w:tcPr>
          <w:p>
            <w:pPr>
              <w:keepLines/>
              <w:widowControl/>
              <w:spacing w:before="0" w:after="0" w:line="240" w:lineRule="auto"/>
            </w:pPr>
            <w:r>
              <w:rPr>
                <w:rFonts w:ascii="Calibri" w:hAnsi="Calibri" w:eastAsia="Calibri"/>
                <w:b/>
                <w:i w:val="0"/>
                <w:color w:val="153A5B"/>
                <w:sz w:val="15"/>
              </w:rPr>
              <w:t>Styrke</w:t>
            </w:r>
          </w:p>
        </w:tc>
        <w:tc>
          <w:tcPr>
            <w:tcW w:type="dxa" w:w="4932"/>
            <w:shd w:fill="F5F8FB"/>
            <w:tcMar>
              <w:top w:w="52" w:type="dxa"/>
              <w:start w:w="90" w:type="dxa"/>
              <w:bottom w:w="52" w:type="dxa"/>
              <w:end w:w="90" w:type="dxa"/>
            </w:tcMar>
            <w:vAlign w:val="center"/>
          </w:tcPr>
          <w:p>
            <w:pPr>
              <w:keepLines/>
              <w:widowControl/>
              <w:spacing w:before="0" w:after="0" w:line="240" w:lineRule="auto"/>
            </w:pPr>
            <w:r>
              <w:rPr>
                <w:rFonts w:ascii="Calibri" w:hAnsi="Calibri" w:eastAsia="Calibri"/>
                <w:b w:val="0"/>
                <w:i w:val="0"/>
                <w:color w:val="22313F"/>
                <w:sz w:val="15"/>
              </w:rPr>
              <w:t>Mere hormon- og leverrespons samt lavere gennemsnitligt kontraktionsoptag end kontinuerlig cardio.</w:t>
            </w:r>
          </w:p>
        </w:tc>
        <w:tc>
          <w:tcPr>
            <w:tcW w:type="dxa" w:w="3118"/>
            <w:shd w:fill="F5F8FB"/>
            <w:tcMar>
              <w:top w:w="52" w:type="dxa"/>
              <w:start w:w="90" w:type="dxa"/>
              <w:bottom w:w="52" w:type="dxa"/>
              <w:end w:w="90" w:type="dxa"/>
            </w:tcMar>
            <w:vAlign w:val="center"/>
          </w:tcPr>
          <w:p>
            <w:pPr>
              <w:keepLines/>
              <w:widowControl/>
              <w:spacing w:before="0" w:after="0" w:line="240" w:lineRule="auto"/>
            </w:pPr>
            <w:r>
              <w:rPr>
                <w:rFonts w:ascii="Calibri" w:hAnsi="Calibri" w:eastAsia="Calibri"/>
                <w:b w:val="0"/>
                <w:i w:val="0"/>
                <w:color w:val="22313F"/>
                <w:sz w:val="15"/>
              </w:rPr>
              <w:t>Mindre akut fald og større kontekstafhængighed; sen effekt er stadig mulig.</w:t>
            </w:r>
          </w:p>
        </w:tc>
      </w:tr>
      <w:tr>
        <w:trPr>
          <w:cantSplit/>
        </w:trPr>
        <w:tc>
          <w:tcPr>
            <w:tcW w:type="dxa" w:w="1247"/>
            <w:tcMar>
              <w:top w:w="52" w:type="dxa"/>
              <w:start w:w="90" w:type="dxa"/>
              <w:bottom w:w="52" w:type="dxa"/>
              <w:end w:w="90" w:type="dxa"/>
            </w:tcMar>
            <w:vAlign w:val="center"/>
          </w:tcPr>
          <w:p>
            <w:pPr>
              <w:keepLines/>
              <w:widowControl/>
              <w:spacing w:before="0" w:after="0" w:line="240" w:lineRule="auto"/>
            </w:pPr>
            <w:r>
              <w:rPr>
                <w:rFonts w:ascii="Calibri" w:hAnsi="Calibri" w:eastAsia="Calibri"/>
                <w:b/>
                <w:i w:val="0"/>
                <w:color w:val="153A5B"/>
                <w:sz w:val="15"/>
              </w:rPr>
              <w:t>Mix</w:t>
            </w:r>
          </w:p>
        </w:tc>
        <w:tc>
          <w:tcPr>
            <w:tcW w:type="dxa" w:w="4932"/>
            <w:tcMar>
              <w:top w:w="52" w:type="dxa"/>
              <w:start w:w="90" w:type="dxa"/>
              <w:bottom w:w="52" w:type="dxa"/>
              <w:end w:w="90" w:type="dxa"/>
            </w:tcMar>
            <w:vAlign w:val="center"/>
          </w:tcPr>
          <w:p>
            <w:pPr>
              <w:keepLines/>
              <w:widowControl/>
              <w:spacing w:before="0" w:after="0" w:line="240" w:lineRule="auto"/>
            </w:pPr>
            <w:r>
              <w:rPr>
                <w:rFonts w:ascii="Calibri" w:hAnsi="Calibri" w:eastAsia="Calibri"/>
                <w:b w:val="0"/>
                <w:i w:val="0"/>
                <w:color w:val="22313F"/>
                <w:sz w:val="15"/>
              </w:rPr>
              <w:t>En gennemsnitlig profil mellem aerobe og anaerobe perioder. Modellen repræsenterer den samlede belastning, ikke rækkefølgen af hvert interval.</w:t>
            </w:r>
          </w:p>
        </w:tc>
        <w:tc>
          <w:tcPr>
            <w:tcW w:type="dxa" w:w="3118"/>
            <w:tcMar>
              <w:top w:w="52" w:type="dxa"/>
              <w:start w:w="90" w:type="dxa"/>
              <w:bottom w:w="52" w:type="dxa"/>
              <w:end w:w="90" w:type="dxa"/>
            </w:tcMar>
            <w:vAlign w:val="center"/>
          </w:tcPr>
          <w:p>
            <w:pPr>
              <w:keepLines/>
              <w:widowControl/>
              <w:spacing w:before="0" w:after="0" w:line="240" w:lineRule="auto"/>
            </w:pPr>
            <w:r>
              <w:rPr>
                <w:rFonts w:ascii="Calibri" w:hAnsi="Calibri" w:eastAsia="Calibri"/>
                <w:b w:val="0"/>
                <w:i w:val="0"/>
                <w:color w:val="22313F"/>
                <w:sz w:val="15"/>
              </w:rPr>
              <w:t>Typisk mellem cardio og styrke, men afhænger af insulin og måltid.</w:t>
            </w:r>
          </w:p>
        </w:tc>
      </w:tr>
      <w:tr>
        <w:trPr>
          <w:cantSplit/>
        </w:trPr>
        <w:tc>
          <w:tcPr>
            <w:tcW w:type="dxa" w:w="1247"/>
            <w:shd w:fill="F5F8FB"/>
            <w:tcMar>
              <w:top w:w="52" w:type="dxa"/>
              <w:start w:w="90" w:type="dxa"/>
              <w:bottom w:w="52" w:type="dxa"/>
              <w:end w:w="90" w:type="dxa"/>
            </w:tcMar>
            <w:vAlign w:val="center"/>
          </w:tcPr>
          <w:p>
            <w:pPr>
              <w:keepLines/>
              <w:widowControl/>
              <w:spacing w:before="0" w:after="0" w:line="240" w:lineRule="auto"/>
            </w:pPr>
            <w:r>
              <w:rPr>
                <w:rFonts w:ascii="Calibri" w:hAnsi="Calibri" w:eastAsia="Calibri"/>
                <w:b/>
                <w:i w:val="0"/>
                <w:color w:val="153A5B"/>
                <w:sz w:val="15"/>
              </w:rPr>
              <w:t>Afslapning</w:t>
            </w:r>
          </w:p>
        </w:tc>
        <w:tc>
          <w:tcPr>
            <w:tcW w:type="dxa" w:w="4932"/>
            <w:shd w:fill="F5F8FB"/>
            <w:tcMar>
              <w:top w:w="52" w:type="dxa"/>
              <w:start w:w="90" w:type="dxa"/>
              <w:bottom w:w="52" w:type="dxa"/>
              <w:end w:w="90" w:type="dxa"/>
            </w:tcMar>
            <w:vAlign w:val="center"/>
          </w:tcPr>
          <w:p>
            <w:pPr>
              <w:keepLines/>
              <w:widowControl/>
              <w:spacing w:before="0" w:after="0" w:line="240" w:lineRule="auto"/>
            </w:pPr>
            <w:r>
              <w:rPr>
                <w:rFonts w:ascii="Calibri" w:hAnsi="Calibri" w:eastAsia="Calibri"/>
                <w:b w:val="0"/>
                <w:i w:val="0"/>
                <w:color w:val="22313F"/>
                <w:sz w:val="15"/>
              </w:rPr>
              <w:t>Reducerer stressdrivning og giver let vasodilatation, men næsten intet direkte muskeloptag eller sen træningseffekt.</w:t>
            </w:r>
          </w:p>
        </w:tc>
        <w:tc>
          <w:tcPr>
            <w:tcW w:type="dxa" w:w="3118"/>
            <w:shd w:fill="F5F8FB"/>
            <w:tcMar>
              <w:top w:w="52" w:type="dxa"/>
              <w:start w:w="90" w:type="dxa"/>
              <w:bottom w:w="52" w:type="dxa"/>
              <w:end w:w="90" w:type="dxa"/>
            </w:tcMar>
            <w:vAlign w:val="center"/>
          </w:tcPr>
          <w:p>
            <w:pPr>
              <w:keepLines/>
              <w:widowControl/>
              <w:spacing w:before="0" w:after="0" w:line="240" w:lineRule="auto"/>
            </w:pPr>
            <w:r>
              <w:rPr>
                <w:rFonts w:ascii="Calibri" w:hAnsi="Calibri" w:eastAsia="Calibri"/>
                <w:b w:val="0"/>
                <w:i w:val="0"/>
                <w:color w:val="22313F"/>
                <w:sz w:val="15"/>
              </w:rPr>
              <w:t>Kan sænke stressbetinget glukose uden at ligne træning.</w:t>
            </w:r>
          </w:p>
        </w:tc>
      </w:tr>
    </w:tbl>
    <w:p>
      <w:pPr>
        <w:keepLines/>
        <w:widowControl/>
        <w:spacing w:before="100" w:after="60" w:line="240" w:lineRule="auto"/>
      </w:pPr>
      <w:r>
        <w:rPr>
          <w:rFonts w:ascii="Calibri" w:hAnsi="Calibri" w:eastAsia="Calibri"/>
          <w:b/>
          <w:i w:val="0"/>
          <w:color w:val="2E74B5"/>
          <w:sz w:val="22"/>
        </w:rPr>
        <w:t>Andre centrale koblinger</w:t>
      </w:r>
    </w:p>
    <w:p>
      <w:pPr>
        <w:pStyle w:val="ListBullet"/>
        <w:keepLines w:val="0"/>
        <w:widowControl/>
        <w:spacing w:before="0" w:after="50" w:line="252" w:lineRule="auto"/>
        <w:ind w:left="238" w:hanging="113"/>
      </w:pPr>
      <w:r>
        <w:rPr>
          <w:rFonts w:ascii="Calibri" w:hAnsi="Calibri" w:eastAsia="Calibri"/>
          <w:b/>
          <w:i w:val="0"/>
          <w:color w:val="153A5B"/>
          <w:sz w:val="17"/>
        </w:rPr>
        <w:t xml:space="preserve">Måltid ↔ insulin: </w:t>
      </w:r>
      <w:r>
        <w:rPr>
          <w:rFonts w:ascii="Calibri" w:hAnsi="Calibri" w:eastAsia="Calibri"/>
          <w:b w:val="0"/>
          <w:i w:val="0"/>
          <w:color w:val="22313F"/>
          <w:sz w:val="17"/>
        </w:rPr>
        <w:t>kulhydrattilførsel og insulinvirkning overlapper; fedt kan både forsinke den første stigning og skabe senere insulinresistens via frie fedtsyrer, mens protein øger forsinket leverproduktion.</w:t>
      </w:r>
    </w:p>
    <w:p>
      <w:pPr>
        <w:pStyle w:val="ListBullet"/>
        <w:keepLines w:val="0"/>
        <w:widowControl/>
        <w:spacing w:before="0" w:after="50" w:line="252" w:lineRule="auto"/>
        <w:ind w:left="238" w:hanging="113"/>
      </w:pPr>
      <w:r>
        <w:rPr>
          <w:rFonts w:ascii="Calibri" w:hAnsi="Calibri" w:eastAsia="Calibri"/>
          <w:b/>
          <w:i w:val="0"/>
          <w:color w:val="153A5B"/>
          <w:sz w:val="17"/>
        </w:rPr>
        <w:t xml:space="preserve">Søvn/stress ↔ dawn: </w:t>
      </w:r>
      <w:r>
        <w:rPr>
          <w:rFonts w:ascii="Calibri" w:hAnsi="Calibri" w:eastAsia="Calibri"/>
          <w:b w:val="0"/>
          <w:i w:val="0"/>
          <w:color w:val="22313F"/>
          <w:sz w:val="17"/>
        </w:rPr>
        <w:t>søvnunderskud øger insulinresistens og stressdrivning og kan forstærke morgenstigningen (Donga et al. 2010).</w:t>
      </w:r>
    </w:p>
    <w:p>
      <w:pPr>
        <w:pStyle w:val="ListBullet"/>
        <w:keepLines w:val="0"/>
        <w:widowControl/>
        <w:spacing w:before="0" w:after="50" w:line="252" w:lineRule="auto"/>
        <w:ind w:left="238" w:hanging="113"/>
      </w:pPr>
      <w:r>
        <w:rPr>
          <w:rFonts w:ascii="Calibri" w:hAnsi="Calibri" w:eastAsia="Calibri"/>
          <w:b/>
          <w:i w:val="0"/>
          <w:color w:val="153A5B"/>
          <w:sz w:val="17"/>
        </w:rPr>
        <w:t xml:space="preserve">Hypo ↔ næste hypo: </w:t>
      </w:r>
      <w:r>
        <w:rPr>
          <w:rFonts w:ascii="Calibri" w:hAnsi="Calibri" w:eastAsia="Calibri"/>
          <w:b w:val="0"/>
          <w:i w:val="0"/>
          <w:color w:val="22313F"/>
          <w:sz w:val="17"/>
        </w:rPr>
        <w:t>gentagne lave værdier dæmper den senere autonome modregulation i HAAF-modellen (Dagogo-Jack et al. 1993).</w:t>
      </w:r>
    </w:p>
    <w:p>
      <w:pPr>
        <w:pStyle w:val="ListBullet"/>
        <w:keepLines w:val="0"/>
        <w:widowControl/>
        <w:spacing w:before="0" w:after="50" w:line="252" w:lineRule="auto"/>
        <w:ind w:left="238" w:hanging="113"/>
      </w:pPr>
      <w:r>
        <w:rPr>
          <w:rFonts w:ascii="Calibri" w:hAnsi="Calibri" w:eastAsia="Calibri"/>
          <w:b/>
          <w:i w:val="0"/>
          <w:color w:val="153A5B"/>
          <w:sz w:val="17"/>
        </w:rPr>
        <w:t xml:space="preserve">Insulinmangel ↔ ketoner: </w:t>
      </w:r>
      <w:r>
        <w:rPr>
          <w:rFonts w:ascii="Calibri" w:hAnsi="Calibri" w:eastAsia="Calibri"/>
          <w:b w:val="0"/>
          <w:i w:val="0"/>
          <w:color w:val="22313F"/>
          <w:sz w:val="17"/>
        </w:rPr>
        <w:t>utilstrækkelig basal insulinvirkning øger fedtfrigivelse og ketondannelse, så risikoen ikke kan aflæses af glukose alene.</w:t>
      </w:r>
    </w:p>
    <w:p>
      <w:pPr>
        <w:widowControl/>
      </w:pPr>
      <w:r>
        <w:br w:type="page"/>
      </w:r>
    </w:p>
    <w:p>
      <w:pPr>
        <w:keepLines/>
        <w:widowControl/>
        <w:spacing w:before="40" w:after="100" w:line="240" w:lineRule="auto"/>
      </w:pPr>
      <w:r>
        <w:rPr>
          <w:rFonts w:ascii="Calibri" w:hAnsi="Calibri" w:eastAsia="Calibri"/>
          <w:b/>
          <w:i w:val="0"/>
          <w:color w:val="148A8A"/>
          <w:sz w:val="25"/>
        </w:rPr>
        <w:t xml:space="preserve">03  </w:t>
      </w:r>
      <w:r>
        <w:rPr>
          <w:rFonts w:ascii="Calibri" w:hAnsi="Calibri" w:eastAsia="Calibri"/>
          <w:b/>
          <w:i w:val="0"/>
          <w:color w:val="153A5B"/>
          <w:sz w:val="33"/>
        </w:rPr>
        <w:t>Mangler, fortolkning og læringsmål</w:t>
      </w:r>
      <w:r>
        <w:rPr>
          <w:rFonts w:ascii="Calibri" w:hAnsi="Calibri" w:eastAsia="Calibri"/>
          <w:b w:val="0"/>
          <w:i w:val="0"/>
          <w:color w:val="5D6B78"/>
          <w:sz w:val="17"/>
        </w:rPr>
        <w:br/>
        <w:t>Forenklinger er nødvendige i en undervisningsmodel; de skal være synlige, så scenarier ikke læses som individuelle prognoser.</w:t>
      </w:r>
    </w:p>
    <w:p>
      <w:pPr>
        <w:keepLines/>
        <w:widowControl/>
        <w:spacing w:before="100" w:after="60" w:line="240" w:lineRule="auto"/>
      </w:pPr>
      <w:r>
        <w:rPr>
          <w:rFonts w:ascii="Calibri" w:hAnsi="Calibri" w:eastAsia="Calibri"/>
          <w:b/>
          <w:i w:val="0"/>
          <w:color w:val="2E74B5"/>
          <w:sz w:val="22"/>
        </w:rPr>
        <w:t>Vigtigste nuværende begrænsninger</w:t>
      </w:r>
    </w:p>
    <w:tbl>
      <w:tblPr>
        <w:tblW w:type="dxa" w:w="9360"/>
        <w:jc w:val="center"/>
        <w:tblLayout w:type="fixed"/>
        <w:tblLook w:firstColumn="1" w:firstRow="1" w:lastColumn="0" w:lastRow="0" w:noHBand="0" w:noVBand="1" w:val="04A0"/>
        <w:tblBorders>
          <w:top w:val="single" w:sz="4" w:color="D8E1E8"/>
          <w:left w:val="single" w:sz="4" w:color="D8E1E8"/>
          <w:bottom w:val="single" w:sz="4" w:color="D8E1E8"/>
          <w:right w:val="single" w:sz="4" w:color="D8E1E8"/>
          <w:insideH w:val="single" w:sz="4" w:color="D8E1E8"/>
          <w:insideV w:val="single" w:sz="4" w:color="D8E1E8"/>
        </w:tblBorders>
      </w:tblPr>
      <w:tblGrid>
        <w:gridCol w:w="2381"/>
        <w:gridCol w:w="6917"/>
      </w:tblGrid>
      <w:tr>
        <w:trPr>
          <w:tblHeader w:val="true"/>
        </w:trPr>
        <w:tc>
          <w:tcPr>
            <w:tcW w:type="dxa" w:w="4989"/>
            <w:shd w:fill="153A5B"/>
            <w:tcMar>
              <w:top w:w="65" w:type="dxa"/>
              <w:start w:w="100" w:type="dxa"/>
              <w:bottom w:w="65" w:type="dxa"/>
              <w:end w:w="100" w:type="dxa"/>
            </w:tcMar>
          </w:tcPr>
          <w:p>
            <w:pPr>
              <w:keepLines/>
              <w:widowControl/>
              <w:spacing w:before="0" w:after="0" w:line="240" w:lineRule="auto"/>
            </w:pPr>
            <w:r>
              <w:rPr>
                <w:rFonts w:ascii="Calibri" w:hAnsi="Calibri" w:eastAsia="Calibri"/>
                <w:b/>
                <w:i w:val="0"/>
                <w:color w:val="FFFFFF"/>
                <w:sz w:val="16"/>
              </w:rPr>
              <w:t>Begrænsning</w:t>
            </w:r>
          </w:p>
        </w:tc>
        <w:tc>
          <w:tcPr>
            <w:tcW w:type="dxa" w:w="4989"/>
            <w:shd w:fill="153A5B"/>
            <w:tcMar>
              <w:top w:w="65" w:type="dxa"/>
              <w:start w:w="100" w:type="dxa"/>
              <w:bottom w:w="65" w:type="dxa"/>
              <w:end w:w="100" w:type="dxa"/>
            </w:tcMar>
          </w:tcPr>
          <w:p>
            <w:pPr>
              <w:keepLines/>
              <w:widowControl/>
              <w:spacing w:before="0" w:after="0" w:line="240" w:lineRule="auto"/>
            </w:pPr>
            <w:r>
              <w:rPr>
                <w:rFonts w:ascii="Calibri" w:hAnsi="Calibri" w:eastAsia="Calibri"/>
                <w:b/>
                <w:i w:val="0"/>
                <w:color w:val="FFFFFF"/>
                <w:sz w:val="16"/>
              </w:rPr>
              <w:t>Betydning for fortolkning</w:t>
            </w:r>
          </w:p>
        </w:tc>
      </w:tr>
      <w:tr>
        <w:trPr>
          <w:cantSplit/>
        </w:trPr>
        <w:tc>
          <w:tcPr>
            <w:tcW w:type="dxa" w:w="2381"/>
            <w:tcMar>
              <w:top w:w="50" w:type="dxa"/>
              <w:start w:w="95" w:type="dxa"/>
              <w:bottom w:w="50" w:type="dxa"/>
              <w:end w:w="95" w:type="dxa"/>
            </w:tcMar>
            <w:vAlign w:val="center"/>
          </w:tcPr>
          <w:p>
            <w:pPr>
              <w:keepLines/>
              <w:widowControl/>
              <w:spacing w:before="0" w:after="0" w:line="240" w:lineRule="auto"/>
            </w:pPr>
            <w:r>
              <w:rPr>
                <w:rFonts w:ascii="Calibri" w:hAnsi="Calibri" w:eastAsia="Calibri"/>
                <w:b/>
                <w:i w:val="0"/>
                <w:color w:val="153A5B"/>
                <w:sz w:val="15"/>
              </w:rPr>
              <w:t>Population frem for person</w:t>
            </w:r>
          </w:p>
        </w:tc>
        <w:tc>
          <w:tcPr>
            <w:tcW w:type="dxa" w:w="6917"/>
            <w:tcMar>
              <w:top w:w="50" w:type="dxa"/>
              <w:start w:w="95" w:type="dxa"/>
              <w:bottom w:w="50" w:type="dxa"/>
              <w:end w:w="95" w:type="dxa"/>
            </w:tcMar>
            <w:vAlign w:val="center"/>
          </w:tcPr>
          <w:p>
            <w:pPr>
              <w:keepLines/>
              <w:widowControl/>
              <w:spacing w:before="0" w:after="0" w:line="240" w:lineRule="auto"/>
            </w:pPr>
            <w:r>
              <w:rPr>
                <w:rFonts w:ascii="Calibri" w:hAnsi="Calibri" w:eastAsia="Calibri"/>
                <w:b w:val="0"/>
                <w:i w:val="0"/>
                <w:color w:val="22313F"/>
                <w:sz w:val="15"/>
              </w:rPr>
              <w:t>Vægt, insulin-kulhydrat-ratio og følsomhed kan justeres, men modellen beskriver ikke en bestemt persons organfunktion, kropssammensætning, kondition, hormonstatus eller rutiner.</w:t>
            </w:r>
          </w:p>
        </w:tc>
      </w:tr>
      <w:tr>
        <w:trPr>
          <w:cantSplit/>
        </w:trPr>
        <w:tc>
          <w:tcPr>
            <w:tcW w:type="dxa" w:w="2381"/>
            <w:shd w:fill="F5F8FB"/>
            <w:tcMar>
              <w:top w:w="50" w:type="dxa"/>
              <w:start w:w="95" w:type="dxa"/>
              <w:bottom w:w="50" w:type="dxa"/>
              <w:end w:w="95" w:type="dxa"/>
            </w:tcMar>
            <w:vAlign w:val="center"/>
          </w:tcPr>
          <w:p>
            <w:pPr>
              <w:keepLines/>
              <w:widowControl/>
              <w:spacing w:before="0" w:after="0" w:line="240" w:lineRule="auto"/>
            </w:pPr>
            <w:r>
              <w:rPr>
                <w:rFonts w:ascii="Calibri" w:hAnsi="Calibri" w:eastAsia="Calibri"/>
                <w:b/>
                <w:i w:val="0"/>
                <w:color w:val="153A5B"/>
                <w:sz w:val="15"/>
              </w:rPr>
              <w:t>Forenklet måltidsfysiologi</w:t>
            </w:r>
          </w:p>
        </w:tc>
        <w:tc>
          <w:tcPr>
            <w:tcW w:type="dxa" w:w="6917"/>
            <w:shd w:fill="F5F8FB"/>
            <w:tcMar>
              <w:top w:w="50" w:type="dxa"/>
              <w:start w:w="95" w:type="dxa"/>
              <w:bottom w:w="50" w:type="dxa"/>
              <w:end w:w="95" w:type="dxa"/>
            </w:tcMar>
            <w:vAlign w:val="center"/>
          </w:tcPr>
          <w:p>
            <w:pPr>
              <w:keepLines/>
              <w:widowControl/>
              <w:spacing w:before="0" w:after="0" w:line="240" w:lineRule="auto"/>
            </w:pPr>
            <w:r>
              <w:rPr>
                <w:rFonts w:ascii="Calibri" w:hAnsi="Calibri" w:eastAsia="Calibri"/>
                <w:b w:val="0"/>
                <w:i w:val="0"/>
                <w:color w:val="22313F"/>
                <w:sz w:val="15"/>
              </w:rPr>
              <w:t>Måltider er semi-mekanistiske. Gastroparese, accelereret mavetømning, resistent stivelse, detaljerede transportører og leverens førstepassage er ikke eksplicitte kompartmenter.</w:t>
            </w:r>
          </w:p>
        </w:tc>
      </w:tr>
      <w:tr>
        <w:trPr>
          <w:cantSplit/>
        </w:trPr>
        <w:tc>
          <w:tcPr>
            <w:tcW w:type="dxa" w:w="2381"/>
            <w:tcMar>
              <w:top w:w="50" w:type="dxa"/>
              <w:start w:w="95" w:type="dxa"/>
              <w:bottom w:w="50" w:type="dxa"/>
              <w:end w:w="95" w:type="dxa"/>
            </w:tcMar>
            <w:vAlign w:val="center"/>
          </w:tcPr>
          <w:p>
            <w:pPr>
              <w:keepLines/>
              <w:widowControl/>
              <w:spacing w:before="0" w:after="0" w:line="240" w:lineRule="auto"/>
            </w:pPr>
            <w:r>
              <w:rPr>
                <w:rFonts w:ascii="Calibri" w:hAnsi="Calibri" w:eastAsia="Calibri"/>
                <w:b/>
                <w:i w:val="0"/>
                <w:color w:val="153A5B"/>
                <w:sz w:val="15"/>
              </w:rPr>
              <w:t>Aktivitet som profiler</w:t>
            </w:r>
          </w:p>
        </w:tc>
        <w:tc>
          <w:tcPr>
            <w:tcW w:type="dxa" w:w="6917"/>
            <w:tcMar>
              <w:top w:w="50" w:type="dxa"/>
              <w:start w:w="95" w:type="dxa"/>
              <w:bottom w:w="50" w:type="dxa"/>
              <w:end w:w="95" w:type="dxa"/>
            </w:tcMar>
            <w:vAlign w:val="center"/>
          </w:tcPr>
          <w:p>
            <w:pPr>
              <w:keepLines/>
              <w:widowControl/>
              <w:spacing w:before="0" w:after="0" w:line="240" w:lineRule="auto"/>
            </w:pPr>
            <w:r>
              <w:rPr>
                <w:rFonts w:ascii="Calibri" w:hAnsi="Calibri" w:eastAsia="Calibri"/>
                <w:b w:val="0"/>
                <w:i w:val="0"/>
                <w:color w:val="22313F"/>
                <w:sz w:val="15"/>
              </w:rPr>
              <w:t>Cardio, styrke og mix er gennemsnitlige fysiologiske aktivitetsprofiler. Intervallernes rækkefølge, præcis øvelse, træningsstatus og store individuelle forskelle repræsenteres ikke fuldt.</w:t>
            </w:r>
          </w:p>
        </w:tc>
      </w:tr>
      <w:tr>
        <w:trPr>
          <w:cantSplit/>
        </w:trPr>
        <w:tc>
          <w:tcPr>
            <w:tcW w:type="dxa" w:w="2381"/>
            <w:shd w:fill="F5F8FB"/>
            <w:tcMar>
              <w:top w:w="50" w:type="dxa"/>
              <w:start w:w="95" w:type="dxa"/>
              <w:bottom w:w="50" w:type="dxa"/>
              <w:end w:w="95" w:type="dxa"/>
            </w:tcMar>
            <w:vAlign w:val="center"/>
          </w:tcPr>
          <w:p>
            <w:pPr>
              <w:keepLines/>
              <w:widowControl/>
              <w:spacing w:before="0" w:after="0" w:line="240" w:lineRule="auto"/>
            </w:pPr>
            <w:r>
              <w:rPr>
                <w:rFonts w:ascii="Calibri" w:hAnsi="Calibri" w:eastAsia="Calibri"/>
                <w:b/>
                <w:i w:val="0"/>
                <w:color w:val="153A5B"/>
                <w:sz w:val="15"/>
              </w:rPr>
              <w:t>Delvis massebalance</w:t>
            </w:r>
          </w:p>
        </w:tc>
        <w:tc>
          <w:tcPr>
            <w:tcW w:type="dxa" w:w="6917"/>
            <w:shd w:fill="F5F8FB"/>
            <w:tcMar>
              <w:top w:w="50" w:type="dxa"/>
              <w:start w:w="95" w:type="dxa"/>
              <w:bottom w:w="50" w:type="dxa"/>
              <w:end w:w="95" w:type="dxa"/>
            </w:tcMar>
            <w:vAlign w:val="center"/>
          </w:tcPr>
          <w:p>
            <w:pPr>
              <w:keepLines/>
              <w:widowControl/>
              <w:spacing w:before="0" w:after="0" w:line="240" w:lineRule="auto"/>
            </w:pPr>
            <w:r>
              <w:rPr>
                <w:rFonts w:ascii="Calibri" w:hAnsi="Calibri" w:eastAsia="Calibri"/>
                <w:b w:val="0"/>
                <w:i w:val="0"/>
                <w:color w:val="22313F"/>
                <w:sz w:val="15"/>
              </w:rPr>
              <w:t>Muskel- og leverglykogen bruges som kapacitets- og hukommelsespuljer, men alle ændringer er ikke fuldt massebalanceret direkte mod plasmaflux.</w:t>
            </w:r>
          </w:p>
        </w:tc>
      </w:tr>
      <w:tr>
        <w:trPr>
          <w:cantSplit/>
        </w:trPr>
        <w:tc>
          <w:tcPr>
            <w:tcW w:type="dxa" w:w="2381"/>
            <w:tcMar>
              <w:top w:w="50" w:type="dxa"/>
              <w:start w:w="95" w:type="dxa"/>
              <w:bottom w:w="50" w:type="dxa"/>
              <w:end w:w="95" w:type="dxa"/>
            </w:tcMar>
            <w:vAlign w:val="center"/>
          </w:tcPr>
          <w:p>
            <w:pPr>
              <w:keepLines/>
              <w:widowControl/>
              <w:spacing w:before="0" w:after="0" w:line="240" w:lineRule="auto"/>
            </w:pPr>
            <w:r>
              <w:rPr>
                <w:rFonts w:ascii="Calibri" w:hAnsi="Calibri" w:eastAsia="Calibri"/>
                <w:b/>
                <w:i w:val="0"/>
                <w:color w:val="153A5B"/>
                <w:sz w:val="15"/>
              </w:rPr>
              <w:t>DKA uden fuld syre-base-model</w:t>
            </w:r>
          </w:p>
        </w:tc>
        <w:tc>
          <w:tcPr>
            <w:tcW w:type="dxa" w:w="6917"/>
            <w:tcMar>
              <w:top w:w="50" w:type="dxa"/>
              <w:start w:w="95" w:type="dxa"/>
              <w:bottom w:w="50" w:type="dxa"/>
              <w:end w:w="95" w:type="dxa"/>
            </w:tcMar>
            <w:vAlign w:val="center"/>
          </w:tcPr>
          <w:p>
            <w:pPr>
              <w:keepLines/>
              <w:widowControl/>
              <w:spacing w:before="0" w:after="0" w:line="240" w:lineRule="auto"/>
            </w:pPr>
            <w:r>
              <w:rPr>
                <w:rFonts w:ascii="Calibri" w:hAnsi="Calibri" w:eastAsia="Calibri"/>
                <w:b w:val="0"/>
                <w:i w:val="0"/>
                <w:color w:val="22313F"/>
                <w:sz w:val="15"/>
              </w:rPr>
              <w:t>Ketoner og syrebelastning simuleres, men ikke pH, bikarbonat, elektrolytter, dehydrering eller det komplette kliniske forløb ved diabetisk ketoacidose (DKA).</w:t>
            </w:r>
          </w:p>
        </w:tc>
      </w:tr>
      <w:tr>
        <w:trPr>
          <w:cantSplit/>
        </w:trPr>
        <w:tc>
          <w:tcPr>
            <w:tcW w:type="dxa" w:w="2381"/>
            <w:shd w:fill="F5F8FB"/>
            <w:tcMar>
              <w:top w:w="50" w:type="dxa"/>
              <w:start w:w="95" w:type="dxa"/>
              <w:bottom w:w="50" w:type="dxa"/>
              <w:end w:w="95" w:type="dxa"/>
            </w:tcMar>
            <w:vAlign w:val="center"/>
          </w:tcPr>
          <w:p>
            <w:pPr>
              <w:keepLines/>
              <w:widowControl/>
              <w:spacing w:before="0" w:after="0" w:line="240" w:lineRule="auto"/>
            </w:pPr>
            <w:r>
              <w:rPr>
                <w:rFonts w:ascii="Calibri" w:hAnsi="Calibri" w:eastAsia="Calibri"/>
                <w:b/>
                <w:i w:val="0"/>
                <w:color w:val="153A5B"/>
                <w:sz w:val="15"/>
              </w:rPr>
              <w:t>Generiske produkter og sensorer</w:t>
            </w:r>
          </w:p>
        </w:tc>
        <w:tc>
          <w:tcPr>
            <w:tcW w:type="dxa" w:w="6917"/>
            <w:shd w:fill="F5F8FB"/>
            <w:tcMar>
              <w:top w:w="50" w:type="dxa"/>
              <w:start w:w="95" w:type="dxa"/>
              <w:bottom w:w="50" w:type="dxa"/>
              <w:end w:w="95" w:type="dxa"/>
            </w:tcMar>
            <w:vAlign w:val="center"/>
          </w:tcPr>
          <w:p>
            <w:pPr>
              <w:keepLines/>
              <w:widowControl/>
              <w:spacing w:before="0" w:after="0" w:line="240" w:lineRule="auto"/>
            </w:pPr>
            <w:r>
              <w:rPr>
                <w:rFonts w:ascii="Calibri" w:hAnsi="Calibri" w:eastAsia="Calibri"/>
                <w:b w:val="0"/>
                <w:i w:val="0"/>
                <w:color w:val="22313F"/>
                <w:sz w:val="15"/>
              </w:rPr>
              <w:t>Insulin repræsenteres som generisk hurtig/basal, ikke som hvert analog eller pumpeprofil. CGM-lag og støj er ikke kalibreret til en bestemt sensor.</w:t>
            </w:r>
          </w:p>
        </w:tc>
      </w:tr>
      <w:tr>
        <w:trPr>
          <w:cantSplit/>
        </w:trPr>
        <w:tc>
          <w:tcPr>
            <w:tcW w:type="dxa" w:w="2381"/>
            <w:tcMar>
              <w:top w:w="50" w:type="dxa"/>
              <w:start w:w="95" w:type="dxa"/>
              <w:bottom w:w="50" w:type="dxa"/>
              <w:end w:w="95" w:type="dxa"/>
            </w:tcMar>
            <w:vAlign w:val="center"/>
          </w:tcPr>
          <w:p>
            <w:pPr>
              <w:keepLines/>
              <w:widowControl/>
              <w:spacing w:before="0" w:after="0" w:line="240" w:lineRule="auto"/>
            </w:pPr>
            <w:r>
              <w:rPr>
                <w:rFonts w:ascii="Calibri" w:hAnsi="Calibri" w:eastAsia="Calibri"/>
                <w:b/>
                <w:i w:val="0"/>
                <w:color w:val="153A5B"/>
                <w:sz w:val="15"/>
              </w:rPr>
              <w:t>Manglende påvirkninger</w:t>
            </w:r>
          </w:p>
        </w:tc>
        <w:tc>
          <w:tcPr>
            <w:tcW w:type="dxa" w:w="6917"/>
            <w:tcMar>
              <w:top w:w="50" w:type="dxa"/>
              <w:start w:w="95" w:type="dxa"/>
              <w:bottom w:w="50" w:type="dxa"/>
              <w:end w:w="95" w:type="dxa"/>
            </w:tcMar>
            <w:vAlign w:val="center"/>
          </w:tcPr>
          <w:p>
            <w:pPr>
              <w:keepLines/>
              <w:widowControl/>
              <w:spacing w:before="0" w:after="0" w:line="240" w:lineRule="auto"/>
            </w:pPr>
            <w:r>
              <w:rPr>
                <w:rFonts w:ascii="Calibri" w:hAnsi="Calibri" w:eastAsia="Calibri"/>
                <w:b w:val="0"/>
                <w:i w:val="0"/>
                <w:color w:val="22313F"/>
                <w:sz w:val="15"/>
              </w:rPr>
              <w:t>Alkohol, menstruationscyklus, graviditet, temperatur, højde og specifikke infektioner er endnu ikke selvstændige mekanistiske moduler.</w:t>
            </w:r>
          </w:p>
        </w:tc>
      </w:tr>
    </w:tbl>
    <w:tbl>
      <w:tblPr>
        <w:tblW w:type="dxa" w:w="9360"/>
        <w:jc w:val="center"/>
        <w:tblLayout w:type="fixed"/>
        <w:tblLook w:firstColumn="1" w:firstRow="1" w:lastColumn="0" w:lastRow="0" w:noHBand="0" w:noVBand="1" w:val="04A0"/>
      </w:tblPr>
      <w:tblGrid>
        <w:gridCol w:w="9978"/>
      </w:tblGrid>
      <w:tr>
        <w:tc>
          <w:tcPr>
            <w:tcW w:type="dxa" w:w="9978"/>
            <w:shd w:fill="FFF5DE"/>
            <w:tcMar>
              <w:top w:w="105" w:type="dxa"/>
              <w:start w:w="130" w:type="dxa"/>
              <w:bottom w:w="105" w:type="dxa"/>
              <w:end w:w="130" w:type="dxa"/>
            </w:tcMar>
          </w:tcPr>
          <w:p>
            <w:pPr>
              <w:keepLines/>
              <w:widowControl/>
              <w:spacing w:before="0" w:after="0" w:line="259" w:lineRule="auto"/>
            </w:pPr>
            <w:r>
              <w:rPr>
                <w:rFonts w:ascii="Calibri" w:hAnsi="Calibri" w:eastAsia="Calibri"/>
                <w:b/>
                <w:i w:val="0"/>
                <w:color w:val="A56A00"/>
                <w:sz w:val="17"/>
              </w:rPr>
              <w:t xml:space="preserve">AFGRÆNSNING  </w:t>
            </w:r>
            <w:r>
              <w:rPr>
                <w:rFonts w:ascii="Calibri" w:hAnsi="Calibri" w:eastAsia="Calibri"/>
                <w:b w:val="0"/>
                <w:i w:val="0"/>
                <w:color w:val="22313F"/>
                <w:sz w:val="18"/>
              </w:rPr>
              <w:t>Simulatoren er et lærings- og refleksionsværktøj. Den kan vise årsag–virkning, forsinkelser og usikkerhed, men må ikke bruges til at beregne personlige insulin­doser eller erstatte klinisk rådgivning.</w:t>
            </w:r>
          </w:p>
        </w:tc>
      </w:tr>
    </w:tbl>
    <w:p>
      <w:pPr>
        <w:keepLines/>
        <w:widowControl/>
        <w:spacing w:before="100" w:after="60" w:line="240" w:lineRule="auto"/>
      </w:pPr>
      <w:r>
        <w:rPr>
          <w:rFonts w:ascii="Calibri" w:hAnsi="Calibri" w:eastAsia="Calibri"/>
          <w:b/>
          <w:i w:val="0"/>
          <w:color w:val="2E74B5"/>
          <w:sz w:val="22"/>
        </w:rPr>
        <w:t>Mulige læringsmål</w:t>
      </w:r>
    </w:p>
    <w:tbl>
      <w:tblPr>
        <w:tblW w:type="dxa" w:w="9360"/>
        <w:jc w:val="center"/>
        <w:tblLayout w:type="fixed"/>
        <w:tblLook w:firstColumn="1" w:firstRow="1" w:lastColumn="0" w:lastRow="0" w:noHBand="0" w:noVBand="1" w:val="04A0"/>
      </w:tblPr>
      <w:tblGrid>
        <w:gridCol w:w="425"/>
        <w:gridCol w:w="8844"/>
      </w:tblGrid>
      <w:tr>
        <w:tc>
          <w:tcPr>
            <w:tcW w:type="dxa" w:w="4989"/>
            <w:shd w:fill="148A8A"/>
            <w:tcMar>
              <w:top w:w="65" w:type="dxa"/>
              <w:start w:w="90" w:type="dxa"/>
              <w:bottom w:w="65" w:type="dxa"/>
              <w:end w:w="90" w:type="dxa"/>
            </w:tcMar>
            <w:vAlign w:val="center"/>
          </w:tcPr>
          <w:p>
            <w:pPr>
              <w:keepLines/>
              <w:widowControl/>
              <w:spacing w:before="0" w:after="0" w:line="240" w:lineRule="auto"/>
              <w:jc w:val="center"/>
            </w:pPr>
            <w:r>
              <w:rPr>
                <w:rFonts w:ascii="Calibri" w:hAnsi="Calibri" w:eastAsia="Calibri"/>
                <w:b/>
                <w:i w:val="0"/>
                <w:color w:val="FFFFFF"/>
                <w:sz w:val="20"/>
              </w:rPr>
              <w:t>1</w:t>
            </w:r>
          </w:p>
        </w:tc>
        <w:tc>
          <w:tcPr>
            <w:tcW w:type="dxa" w:w="4989"/>
            <w:shd w:fill="F5F8FB"/>
            <w:tcMar>
              <w:top w:w="65" w:type="dxa"/>
              <w:start w:w="90" w:type="dxa"/>
              <w:bottom w:w="65" w:type="dxa"/>
              <w:end w:w="90" w:type="dxa"/>
            </w:tcMar>
            <w:vAlign w:val="center"/>
          </w:tcPr>
          <w:p>
            <w:pPr>
              <w:keepLines/>
              <w:widowControl/>
              <w:spacing w:before="0" w:after="0" w:line="245" w:lineRule="auto"/>
            </w:pPr>
            <w:r>
              <w:rPr>
                <w:rFonts w:ascii="Calibri" w:hAnsi="Calibri" w:eastAsia="Calibri"/>
                <w:b/>
                <w:i w:val="0"/>
                <w:color w:val="153A5B"/>
                <w:sz w:val="17"/>
              </w:rPr>
              <w:t xml:space="preserve">Forklare tidsforsinkelser: </w:t>
            </w:r>
            <w:r>
              <w:rPr>
                <w:rFonts w:ascii="Calibri" w:hAnsi="Calibri" w:eastAsia="Calibri"/>
                <w:b w:val="0"/>
                <w:i w:val="0"/>
                <w:color w:val="22313F"/>
                <w:sz w:val="17"/>
              </w:rPr>
              <w:t>skelne mellem indtag, tarmoptag, insulin i depot/plasma/væv og CGM-visning.</w:t>
            </w:r>
          </w:p>
        </w:tc>
      </w:tr>
    </w:tbl>
    <w:tbl>
      <w:tblPr>
        <w:tblW w:type="dxa" w:w="9360"/>
        <w:jc w:val="center"/>
        <w:tblLayout w:type="fixed"/>
        <w:tblLook w:firstColumn="1" w:firstRow="1" w:lastColumn="0" w:lastRow="0" w:noHBand="0" w:noVBand="1" w:val="04A0"/>
      </w:tblPr>
      <w:tblGrid>
        <w:gridCol w:w="425"/>
        <w:gridCol w:w="8844"/>
      </w:tblGrid>
      <w:tr>
        <w:tc>
          <w:tcPr>
            <w:tcW w:type="dxa" w:w="4989"/>
            <w:shd w:fill="148A8A"/>
            <w:tcMar>
              <w:top w:w="65" w:type="dxa"/>
              <w:start w:w="90" w:type="dxa"/>
              <w:bottom w:w="65" w:type="dxa"/>
              <w:end w:w="90" w:type="dxa"/>
            </w:tcMar>
            <w:vAlign w:val="center"/>
          </w:tcPr>
          <w:p>
            <w:pPr>
              <w:keepLines/>
              <w:widowControl/>
              <w:spacing w:before="0" w:after="0" w:line="240" w:lineRule="auto"/>
              <w:jc w:val="center"/>
            </w:pPr>
            <w:r>
              <w:rPr>
                <w:rFonts w:ascii="Calibri" w:hAnsi="Calibri" w:eastAsia="Calibri"/>
                <w:b/>
                <w:i w:val="0"/>
                <w:color w:val="FFFFFF"/>
                <w:sz w:val="20"/>
              </w:rPr>
              <w:t>2</w:t>
            </w:r>
          </w:p>
        </w:tc>
        <w:tc>
          <w:tcPr>
            <w:tcW w:type="dxa" w:w="4989"/>
            <w:shd w:fill="F5F8FB"/>
            <w:tcMar>
              <w:top w:w="65" w:type="dxa"/>
              <w:start w:w="90" w:type="dxa"/>
              <w:bottom w:w="65" w:type="dxa"/>
              <w:end w:w="90" w:type="dxa"/>
            </w:tcMar>
            <w:vAlign w:val="center"/>
          </w:tcPr>
          <w:p>
            <w:pPr>
              <w:keepLines/>
              <w:widowControl/>
              <w:spacing w:before="0" w:after="0" w:line="245" w:lineRule="auto"/>
            </w:pPr>
            <w:r>
              <w:rPr>
                <w:rFonts w:ascii="Calibri" w:hAnsi="Calibri" w:eastAsia="Calibri"/>
                <w:b/>
                <w:i w:val="0"/>
                <w:color w:val="153A5B"/>
                <w:sz w:val="17"/>
              </w:rPr>
              <w:t xml:space="preserve">Forudsige nettoeffekter: </w:t>
            </w:r>
            <w:r>
              <w:rPr>
                <w:rFonts w:ascii="Calibri" w:hAnsi="Calibri" w:eastAsia="Calibri"/>
                <w:b w:val="0"/>
                <w:i w:val="0"/>
                <w:color w:val="22313F"/>
                <w:sz w:val="17"/>
              </w:rPr>
              <w:t>argumentere for, hvordan flere samtidige mekanismer kan trække glukose i hver sin retning.</w:t>
            </w:r>
          </w:p>
        </w:tc>
      </w:tr>
    </w:tbl>
    <w:tbl>
      <w:tblPr>
        <w:tblW w:type="dxa" w:w="9360"/>
        <w:jc w:val="center"/>
        <w:tblLayout w:type="fixed"/>
        <w:tblLook w:firstColumn="1" w:firstRow="1" w:lastColumn="0" w:lastRow="0" w:noHBand="0" w:noVBand="1" w:val="04A0"/>
      </w:tblPr>
      <w:tblGrid>
        <w:gridCol w:w="425"/>
        <w:gridCol w:w="8844"/>
      </w:tblGrid>
      <w:tr>
        <w:tc>
          <w:tcPr>
            <w:tcW w:type="dxa" w:w="4989"/>
            <w:shd w:fill="148A8A"/>
            <w:tcMar>
              <w:top w:w="65" w:type="dxa"/>
              <w:start w:w="90" w:type="dxa"/>
              <w:bottom w:w="65" w:type="dxa"/>
              <w:end w:w="90" w:type="dxa"/>
            </w:tcMar>
            <w:vAlign w:val="center"/>
          </w:tcPr>
          <w:p>
            <w:pPr>
              <w:keepLines/>
              <w:widowControl/>
              <w:spacing w:before="0" w:after="0" w:line="240" w:lineRule="auto"/>
              <w:jc w:val="center"/>
            </w:pPr>
            <w:r>
              <w:rPr>
                <w:rFonts w:ascii="Calibri" w:hAnsi="Calibri" w:eastAsia="Calibri"/>
                <w:b/>
                <w:i w:val="0"/>
                <w:color w:val="FFFFFF"/>
                <w:sz w:val="20"/>
              </w:rPr>
              <w:t>3</w:t>
            </w:r>
          </w:p>
        </w:tc>
        <w:tc>
          <w:tcPr>
            <w:tcW w:type="dxa" w:w="4989"/>
            <w:shd w:fill="F5F8FB"/>
            <w:tcMar>
              <w:top w:w="65" w:type="dxa"/>
              <w:start w:w="90" w:type="dxa"/>
              <w:bottom w:w="65" w:type="dxa"/>
              <w:end w:w="90" w:type="dxa"/>
            </w:tcMar>
            <w:vAlign w:val="center"/>
          </w:tcPr>
          <w:p>
            <w:pPr>
              <w:keepLines/>
              <w:widowControl/>
              <w:spacing w:before="0" w:after="0" w:line="245" w:lineRule="auto"/>
            </w:pPr>
            <w:r>
              <w:rPr>
                <w:rFonts w:ascii="Calibri" w:hAnsi="Calibri" w:eastAsia="Calibri"/>
                <w:b/>
                <w:i w:val="0"/>
                <w:color w:val="153A5B"/>
                <w:sz w:val="17"/>
              </w:rPr>
              <w:t xml:space="preserve">Sammenligne motion: </w:t>
            </w:r>
            <w:r>
              <w:rPr>
                <w:rFonts w:ascii="Calibri" w:hAnsi="Calibri" w:eastAsia="Calibri"/>
                <w:b w:val="0"/>
                <w:i w:val="0"/>
                <w:color w:val="22313F"/>
                <w:sz w:val="17"/>
              </w:rPr>
              <w:t>forklare, hvorfor cardio, styrke og mix kan give forskellige akutte og forsinkede forløb ved forskellig IOB og måltidstiming.</w:t>
            </w:r>
          </w:p>
        </w:tc>
      </w:tr>
    </w:tbl>
    <w:tbl>
      <w:tblPr>
        <w:tblW w:type="dxa" w:w="9360"/>
        <w:jc w:val="center"/>
        <w:tblLayout w:type="fixed"/>
        <w:tblLook w:firstColumn="1" w:firstRow="1" w:lastColumn="0" w:lastRow="0" w:noHBand="0" w:noVBand="1" w:val="04A0"/>
      </w:tblPr>
      <w:tblGrid>
        <w:gridCol w:w="425"/>
        <w:gridCol w:w="8844"/>
      </w:tblGrid>
      <w:tr>
        <w:tc>
          <w:tcPr>
            <w:tcW w:type="dxa" w:w="4989"/>
            <w:shd w:fill="148A8A"/>
            <w:tcMar>
              <w:top w:w="65" w:type="dxa"/>
              <w:start w:w="90" w:type="dxa"/>
              <w:bottom w:w="65" w:type="dxa"/>
              <w:end w:w="90" w:type="dxa"/>
            </w:tcMar>
            <w:vAlign w:val="center"/>
          </w:tcPr>
          <w:p>
            <w:pPr>
              <w:keepLines/>
              <w:widowControl/>
              <w:spacing w:before="0" w:after="0" w:line="240" w:lineRule="auto"/>
              <w:jc w:val="center"/>
            </w:pPr>
            <w:r>
              <w:rPr>
                <w:rFonts w:ascii="Calibri" w:hAnsi="Calibri" w:eastAsia="Calibri"/>
                <w:b/>
                <w:i w:val="0"/>
                <w:color w:val="FFFFFF"/>
                <w:sz w:val="20"/>
              </w:rPr>
              <w:t>4</w:t>
            </w:r>
          </w:p>
        </w:tc>
        <w:tc>
          <w:tcPr>
            <w:tcW w:type="dxa" w:w="4989"/>
            <w:shd w:fill="F5F8FB"/>
            <w:tcMar>
              <w:top w:w="65" w:type="dxa"/>
              <w:start w:w="90" w:type="dxa"/>
              <w:bottom w:w="65" w:type="dxa"/>
              <w:end w:w="90" w:type="dxa"/>
            </w:tcMar>
            <w:vAlign w:val="center"/>
          </w:tcPr>
          <w:p>
            <w:pPr>
              <w:keepLines/>
              <w:widowControl/>
              <w:spacing w:before="0" w:after="0" w:line="245" w:lineRule="auto"/>
            </w:pPr>
            <w:r>
              <w:rPr>
                <w:rFonts w:ascii="Calibri" w:hAnsi="Calibri" w:eastAsia="Calibri"/>
                <w:b/>
                <w:i w:val="0"/>
                <w:color w:val="153A5B"/>
                <w:sz w:val="17"/>
              </w:rPr>
              <w:t xml:space="preserve">Forstå måltidssammensætning: </w:t>
            </w:r>
            <w:r>
              <w:rPr>
                <w:rFonts w:ascii="Calibri" w:hAnsi="Calibri" w:eastAsia="Calibri"/>
                <w:b w:val="0"/>
                <w:i w:val="0"/>
                <w:color w:val="22313F"/>
                <w:sz w:val="17"/>
              </w:rPr>
              <w:t>genkende, at samme mængde kulhydrat kan give forskellig kurve på grund af hastighed, fedt, protein og fiber.</w:t>
            </w:r>
          </w:p>
        </w:tc>
      </w:tr>
    </w:tbl>
    <w:tbl>
      <w:tblPr>
        <w:tblW w:type="dxa" w:w="9360"/>
        <w:jc w:val="center"/>
        <w:tblLayout w:type="fixed"/>
        <w:tblLook w:firstColumn="1" w:firstRow="1" w:lastColumn="0" w:lastRow="0" w:noHBand="0" w:noVBand="1" w:val="04A0"/>
      </w:tblPr>
      <w:tblGrid>
        <w:gridCol w:w="425"/>
        <w:gridCol w:w="8844"/>
      </w:tblGrid>
      <w:tr>
        <w:tc>
          <w:tcPr>
            <w:tcW w:type="dxa" w:w="4989"/>
            <w:shd w:fill="148A8A"/>
            <w:tcMar>
              <w:top w:w="65" w:type="dxa"/>
              <w:start w:w="90" w:type="dxa"/>
              <w:bottom w:w="65" w:type="dxa"/>
              <w:end w:w="90" w:type="dxa"/>
            </w:tcMar>
            <w:vAlign w:val="center"/>
          </w:tcPr>
          <w:p>
            <w:pPr>
              <w:keepLines/>
              <w:widowControl/>
              <w:spacing w:before="0" w:after="0" w:line="240" w:lineRule="auto"/>
              <w:jc w:val="center"/>
            </w:pPr>
            <w:r>
              <w:rPr>
                <w:rFonts w:ascii="Calibri" w:hAnsi="Calibri" w:eastAsia="Calibri"/>
                <w:b/>
                <w:i w:val="0"/>
                <w:color w:val="FFFFFF"/>
                <w:sz w:val="20"/>
              </w:rPr>
              <w:t>5</w:t>
            </w:r>
          </w:p>
        </w:tc>
        <w:tc>
          <w:tcPr>
            <w:tcW w:type="dxa" w:w="4989"/>
            <w:shd w:fill="F5F8FB"/>
            <w:tcMar>
              <w:top w:w="65" w:type="dxa"/>
              <w:start w:w="90" w:type="dxa"/>
              <w:bottom w:w="65" w:type="dxa"/>
              <w:end w:w="90" w:type="dxa"/>
            </w:tcMar>
            <w:vAlign w:val="center"/>
          </w:tcPr>
          <w:p>
            <w:pPr>
              <w:keepLines/>
              <w:widowControl/>
              <w:spacing w:before="0" w:after="0" w:line="245" w:lineRule="auto"/>
            </w:pPr>
            <w:r>
              <w:rPr>
                <w:rFonts w:ascii="Calibri" w:hAnsi="Calibri" w:eastAsia="Calibri"/>
                <w:b/>
                <w:i w:val="0"/>
                <w:color w:val="153A5B"/>
                <w:sz w:val="17"/>
              </w:rPr>
              <w:t xml:space="preserve">Fortolke CGM kritisk: </w:t>
            </w:r>
            <w:r>
              <w:rPr>
                <w:rFonts w:ascii="Calibri" w:hAnsi="Calibri" w:eastAsia="Calibri"/>
                <w:b w:val="0"/>
                <w:i w:val="0"/>
                <w:color w:val="22313F"/>
                <w:sz w:val="17"/>
              </w:rPr>
              <w:t>bruge trend og tidskontekst og forklare, hvorfor sensorglukose kan afvige fra den aktuelle plasmaglukose.</w:t>
            </w:r>
          </w:p>
        </w:tc>
      </w:tr>
    </w:tbl>
    <w:tbl>
      <w:tblPr>
        <w:tblW w:type="dxa" w:w="9360"/>
        <w:jc w:val="center"/>
        <w:tblLayout w:type="fixed"/>
        <w:tblLook w:firstColumn="1" w:firstRow="1" w:lastColumn="0" w:lastRow="0" w:noHBand="0" w:noVBand="1" w:val="04A0"/>
      </w:tblPr>
      <w:tblGrid>
        <w:gridCol w:w="425"/>
        <w:gridCol w:w="8844"/>
      </w:tblGrid>
      <w:tr>
        <w:tc>
          <w:tcPr>
            <w:tcW w:type="dxa" w:w="4989"/>
            <w:shd w:fill="148A8A"/>
            <w:tcMar>
              <w:top w:w="65" w:type="dxa"/>
              <w:start w:w="90" w:type="dxa"/>
              <w:bottom w:w="65" w:type="dxa"/>
              <w:end w:w="90" w:type="dxa"/>
            </w:tcMar>
            <w:vAlign w:val="center"/>
          </w:tcPr>
          <w:p>
            <w:pPr>
              <w:keepLines/>
              <w:widowControl/>
              <w:spacing w:before="0" w:after="0" w:line="240" w:lineRule="auto"/>
              <w:jc w:val="center"/>
            </w:pPr>
            <w:r>
              <w:rPr>
                <w:rFonts w:ascii="Calibri" w:hAnsi="Calibri" w:eastAsia="Calibri"/>
                <w:b/>
                <w:i w:val="0"/>
                <w:color w:val="FFFFFF"/>
                <w:sz w:val="20"/>
              </w:rPr>
              <w:t>6</w:t>
            </w:r>
          </w:p>
        </w:tc>
        <w:tc>
          <w:tcPr>
            <w:tcW w:type="dxa" w:w="4989"/>
            <w:shd w:fill="F5F8FB"/>
            <w:tcMar>
              <w:top w:w="65" w:type="dxa"/>
              <w:start w:w="90" w:type="dxa"/>
              <w:bottom w:w="65" w:type="dxa"/>
              <w:end w:w="90" w:type="dxa"/>
            </w:tcMar>
            <w:vAlign w:val="center"/>
          </w:tcPr>
          <w:p>
            <w:pPr>
              <w:keepLines/>
              <w:widowControl/>
              <w:spacing w:before="0" w:after="0" w:line="245" w:lineRule="auto"/>
            </w:pPr>
            <w:r>
              <w:rPr>
                <w:rFonts w:ascii="Calibri" w:hAnsi="Calibri" w:eastAsia="Calibri"/>
                <w:b/>
                <w:i w:val="0"/>
                <w:color w:val="153A5B"/>
                <w:sz w:val="17"/>
              </w:rPr>
              <w:t xml:space="preserve">Planlægge sikre eksperimenter: </w:t>
            </w:r>
            <w:r>
              <w:rPr>
                <w:rFonts w:ascii="Calibri" w:hAnsi="Calibri" w:eastAsia="Calibri"/>
                <w:b w:val="0"/>
                <w:i w:val="0"/>
                <w:color w:val="22313F"/>
                <w:sz w:val="17"/>
              </w:rPr>
              <w:t>formulere hypotese, ændre én faktor ad gangen, sammenligne gentagelser og vurdere tid i målområdet frem for én perfekt kurve (Battelino et al. 2019).</w:t>
            </w:r>
          </w:p>
        </w:tc>
      </w:tr>
    </w:tbl>
    <w:p>
      <w:pPr>
        <w:keepLines/>
        <w:widowControl/>
        <w:spacing w:before="100" w:after="60" w:line="240" w:lineRule="auto"/>
      </w:pPr>
      <w:r>
        <w:rPr>
          <w:rFonts w:ascii="Calibri" w:hAnsi="Calibri" w:eastAsia="Calibri"/>
          <w:b/>
          <w:i w:val="0"/>
          <w:color w:val="2E74B5"/>
          <w:sz w:val="22"/>
        </w:rPr>
        <w:t>Udvalgte kilder</w:t>
      </w:r>
    </w:p>
    <w:tbl>
      <w:tblPr>
        <w:tblW w:type="dxa" w:w="9360"/>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c>
          <w:tcPr>
            <w:tcW w:type="dxa" w:w="4989"/>
            <w:tcMar>
              <w:top w:w="18" w:type="dxa"/>
              <w:start w:w="70" w:type="dxa"/>
              <w:bottom w:w="18" w:type="dxa"/>
              <w:end w:w="90" w:type="dxa"/>
            </w:tcMar>
          </w:tcPr>
          <w:p>
            <w:pPr>
              <w:keepLines/>
              <w:widowControl/>
              <w:spacing w:before="0" w:after="0" w:line="240" w:lineRule="auto"/>
            </w:pPr>
            <w:r>
              <w:rPr>
                <w:rFonts w:ascii="Calibri" w:hAnsi="Calibri" w:eastAsia="Calibri"/>
                <w:b w:val="0"/>
                <w:i w:val="0"/>
                <w:color w:val="5D6B78"/>
                <w:sz w:val="13"/>
              </w:rPr>
              <w:t>Hovorka R et al. (2004). Nonlinear model predictive control of glucose concentration in subjects with type 1 diabetes. Physiological Measurement 25:905–920.</w:t>
            </w:r>
          </w:p>
        </w:tc>
        <w:tc>
          <w:tcPr>
            <w:tcW w:type="dxa" w:w="4989"/>
            <w:tcMar>
              <w:top w:w="18" w:type="dxa"/>
              <w:start w:w="70" w:type="dxa"/>
              <w:bottom w:w="18" w:type="dxa"/>
              <w:end w:w="90" w:type="dxa"/>
            </w:tcMar>
          </w:tcPr>
          <w:p>
            <w:pPr>
              <w:keepLines/>
              <w:widowControl/>
              <w:spacing w:before="0" w:after="0" w:line="240" w:lineRule="auto"/>
            </w:pPr>
            <w:r>
              <w:rPr>
                <w:rFonts w:ascii="Calibri" w:hAnsi="Calibri" w:eastAsia="Calibri"/>
                <w:b w:val="0"/>
                <w:i w:val="0"/>
                <w:color w:val="5D6B78"/>
                <w:sz w:val="13"/>
              </w:rPr>
              <w:t>Paterson MA et al. (2016). Influence of dietary protein on postprandial blood glucose in type 1 diabetes. Diabetic Medicine 33:592–598.</w:t>
            </w:r>
          </w:p>
        </w:tc>
      </w:tr>
      <w:tr>
        <w:tc>
          <w:tcPr>
            <w:tcW w:type="dxa" w:w="4989"/>
            <w:tcMar>
              <w:top w:w="18" w:type="dxa"/>
              <w:start w:w="70" w:type="dxa"/>
              <w:bottom w:w="18" w:type="dxa"/>
              <w:end w:w="90" w:type="dxa"/>
            </w:tcMar>
          </w:tcPr>
          <w:p>
            <w:pPr>
              <w:keepLines/>
              <w:widowControl/>
              <w:spacing w:before="0" w:after="0" w:line="240" w:lineRule="auto"/>
            </w:pPr>
            <w:r>
              <w:rPr>
                <w:rFonts w:ascii="Calibri" w:hAnsi="Calibri" w:eastAsia="Calibri"/>
                <w:b w:val="0"/>
                <w:i w:val="0"/>
                <w:color w:val="5D6B78"/>
                <w:sz w:val="13"/>
              </w:rPr>
              <w:t>Resalat N et al. (2020). Simulation software for assessment of nonlinear and adaptive multivariable control algorithms. IFAC-PapersOnLine 53:16025–16030.</w:t>
            </w:r>
          </w:p>
        </w:tc>
        <w:tc>
          <w:tcPr>
            <w:tcW w:type="dxa" w:w="4989"/>
            <w:tcMar>
              <w:top w:w="18" w:type="dxa"/>
              <w:start w:w="70" w:type="dxa"/>
              <w:bottom w:w="18" w:type="dxa"/>
              <w:end w:w="90" w:type="dxa"/>
            </w:tcMar>
          </w:tcPr>
          <w:p>
            <w:pPr>
              <w:keepLines/>
              <w:widowControl/>
              <w:spacing w:before="0" w:after="0" w:line="240" w:lineRule="auto"/>
            </w:pPr>
            <w:r>
              <w:rPr>
                <w:rFonts w:ascii="Calibri" w:hAnsi="Calibri" w:eastAsia="Calibri"/>
                <w:b w:val="0"/>
                <w:i w:val="0"/>
                <w:color w:val="5D6B78"/>
                <w:sz w:val="13"/>
              </w:rPr>
              <w:t>Donga E et al. (2010). Partial sleep restriction decreases insulin sensitivity in type 1 diabetes. Diabetes Care 33:1573–1577.</w:t>
            </w:r>
          </w:p>
        </w:tc>
      </w:tr>
      <w:tr>
        <w:tc>
          <w:tcPr>
            <w:tcW w:type="dxa" w:w="4989"/>
            <w:tcMar>
              <w:top w:w="18" w:type="dxa"/>
              <w:start w:w="70" w:type="dxa"/>
              <w:bottom w:w="18" w:type="dxa"/>
              <w:end w:w="90" w:type="dxa"/>
            </w:tcMar>
          </w:tcPr>
          <w:p>
            <w:pPr>
              <w:keepLines/>
              <w:widowControl/>
              <w:spacing w:before="0" w:after="0" w:line="240" w:lineRule="auto"/>
            </w:pPr>
            <w:r>
              <w:rPr>
                <w:rFonts w:ascii="Calibri" w:hAnsi="Calibri" w:eastAsia="Calibri"/>
                <w:b w:val="0"/>
                <w:i w:val="0"/>
                <w:color w:val="5D6B78"/>
                <w:sz w:val="13"/>
              </w:rPr>
              <w:t>Riddell MC et al. (2017). Exercise management in type 1 diabetes: a consensus statement. Lancet Diabetes &amp; Endocrinology 5:377–390.</w:t>
            </w:r>
          </w:p>
        </w:tc>
        <w:tc>
          <w:tcPr>
            <w:tcW w:type="dxa" w:w="4989"/>
            <w:tcMar>
              <w:top w:w="18" w:type="dxa"/>
              <w:start w:w="70" w:type="dxa"/>
              <w:bottom w:w="18" w:type="dxa"/>
              <w:end w:w="90" w:type="dxa"/>
            </w:tcMar>
          </w:tcPr>
          <w:p>
            <w:pPr>
              <w:keepLines/>
              <w:widowControl/>
              <w:spacing w:before="0" w:after="0" w:line="240" w:lineRule="auto"/>
            </w:pPr>
            <w:r>
              <w:rPr>
                <w:rFonts w:ascii="Calibri" w:hAnsi="Calibri" w:eastAsia="Calibri"/>
                <w:b w:val="0"/>
                <w:i w:val="0"/>
                <w:color w:val="5D6B78"/>
                <w:sz w:val="13"/>
              </w:rPr>
              <w:t>Dagogo-Jack SE et al. (1993). Hypoglycemia-associated autonomic failure in insulin-dependent diabetes mellitus. Journal of Clinical Investigation 91:819–828.</w:t>
            </w:r>
          </w:p>
        </w:tc>
      </w:tr>
      <w:tr>
        <w:tc>
          <w:tcPr>
            <w:tcW w:type="dxa" w:w="4989"/>
            <w:tcMar>
              <w:top w:w="18" w:type="dxa"/>
              <w:start w:w="70" w:type="dxa"/>
              <w:bottom w:w="18" w:type="dxa"/>
              <w:end w:w="90" w:type="dxa"/>
            </w:tcMar>
          </w:tcPr>
          <w:p>
            <w:pPr>
              <w:keepLines/>
              <w:widowControl/>
              <w:spacing w:before="0" w:after="0" w:line="240" w:lineRule="auto"/>
            </w:pPr>
            <w:r>
              <w:rPr>
                <w:rFonts w:ascii="Calibri" w:hAnsi="Calibri" w:eastAsia="Calibri"/>
                <w:b w:val="0"/>
                <w:i w:val="0"/>
                <w:color w:val="5D6B78"/>
                <w:sz w:val="13"/>
              </w:rPr>
              <w:t>Yardley JE et al. (2013). Resistance versus aerobic exercise: acute effects on glycemia in type 1 diabetes. Diabetes Care 36:537–542.</w:t>
            </w:r>
          </w:p>
        </w:tc>
        <w:tc>
          <w:tcPr>
            <w:tcW w:type="dxa" w:w="4989"/>
            <w:tcMar>
              <w:top w:w="18" w:type="dxa"/>
              <w:start w:w="70" w:type="dxa"/>
              <w:bottom w:w="18" w:type="dxa"/>
              <w:end w:w="90" w:type="dxa"/>
            </w:tcMar>
          </w:tcPr>
          <w:p>
            <w:pPr>
              <w:keepLines/>
              <w:widowControl/>
              <w:spacing w:before="0" w:after="0" w:line="240" w:lineRule="auto"/>
            </w:pPr>
            <w:r>
              <w:rPr>
                <w:rFonts w:ascii="Calibri" w:hAnsi="Calibri" w:eastAsia="Calibri"/>
                <w:b w:val="0"/>
                <w:i w:val="0"/>
                <w:color w:val="5D6B78"/>
                <w:sz w:val="13"/>
              </w:rPr>
              <w:t>Battelino T et al. (2019). Clinical targets for CGM data interpretation: International Consensus on Time in Range. Diabetes Care 42:1593–1603.</w:t>
            </w:r>
          </w:p>
        </w:tc>
      </w:tr>
      <w:tr>
        <w:tc>
          <w:tcPr>
            <w:tcW w:type="dxa" w:w="4989"/>
            <w:tcMar>
              <w:top w:w="18" w:type="dxa"/>
              <w:start w:w="70" w:type="dxa"/>
              <w:bottom w:w="18" w:type="dxa"/>
              <w:end w:w="90" w:type="dxa"/>
            </w:tcMar>
          </w:tcPr>
          <w:p>
            <w:pPr>
              <w:keepLines/>
              <w:widowControl/>
              <w:spacing w:before="0" w:after="0" w:line="240" w:lineRule="auto"/>
            </w:pPr>
            <w:r>
              <w:rPr>
                <w:rFonts w:ascii="Calibri" w:hAnsi="Calibri" w:eastAsia="Calibri"/>
                <w:b w:val="0"/>
                <w:i w:val="0"/>
                <w:color w:val="5D6B78"/>
                <w:sz w:val="13"/>
              </w:rPr>
              <w:t>Young GM et al. (2023). Insulin- and noninsulin-mediated glucose dynamics during resistance exercise in type 1 diabetes. American Journal of Physiology – Endocrinology and Metabolism 325:E192–E206.</w:t>
            </w:r>
          </w:p>
        </w:tc>
        <w:tc>
          <w:tcPr>
            <w:tcW w:type="dxa" w:w="4989"/>
            <w:tcMar>
              <w:top w:w="18" w:type="dxa"/>
              <w:start w:w="70" w:type="dxa"/>
              <w:bottom w:w="18" w:type="dxa"/>
              <w:end w:w="90" w:type="dxa"/>
            </w:tcMar>
          </w:tcPr>
          <w:p>
            <w:pPr>
              <w:keepLines/>
              <w:widowControl/>
              <w:spacing w:before="0" w:after="0" w:line="240" w:lineRule="auto"/>
            </w:pPr>
            <w:r>
              <w:rPr>
                <w:rFonts w:ascii="Calibri" w:hAnsi="Calibri" w:eastAsia="Calibri"/>
                <w:b w:val="0"/>
                <w:i w:val="0"/>
                <w:color w:val="5D6B78"/>
                <w:sz w:val="13"/>
              </w:rPr>
              <w:t>Qamar MI &amp; Read AE (1987). Effects of exercise on mesenteric blood flow in man. Gut 28:583–587.</w:t>
            </w:r>
          </w:p>
        </w:tc>
      </w:tr>
      <w:tr>
        <w:tc>
          <w:tcPr>
            <w:tcW w:type="dxa" w:w="4989"/>
            <w:tcMar>
              <w:top w:w="18" w:type="dxa"/>
              <w:start w:w="70" w:type="dxa"/>
              <w:bottom w:w="18" w:type="dxa"/>
              <w:end w:w="90" w:type="dxa"/>
            </w:tcMar>
          </w:tcPr>
          <w:p>
            <w:pPr>
              <w:keepLines/>
              <w:widowControl/>
              <w:spacing w:before="0" w:after="0" w:line="240" w:lineRule="auto"/>
            </w:pPr>
            <w:r>
              <w:rPr>
                <w:rFonts w:ascii="Calibri" w:hAnsi="Calibri" w:eastAsia="Calibri"/>
                <w:b w:val="0"/>
                <w:i w:val="0"/>
                <w:color w:val="5D6B78"/>
                <w:sz w:val="13"/>
              </w:rPr>
              <w:t>Smart CEM et al. (2013). Protein and fat independently and additively affect postprandial glucose in children with type 1 diabetes. Diabetes Care 36:3897–3902.</w:t>
            </w:r>
          </w:p>
        </w:tc>
        <w:tc>
          <w:tcPr>
            <w:tcW w:type="dxa" w:w="4989"/>
            <w:tcMar>
              <w:top w:w="18" w:type="dxa"/>
              <w:start w:w="70" w:type="dxa"/>
              <w:bottom w:w="18" w:type="dxa"/>
              <w:end w:w="90" w:type="dxa"/>
            </w:tcMar>
          </w:tcPr>
          <w:p>
            <w:pPr>
              <w:keepLines/>
              <w:widowControl/>
              <w:spacing w:before="0" w:after="0" w:line="240" w:lineRule="auto"/>
            </w:pPr>
            <w:r>
              <w:rPr>
                <w:rFonts w:ascii="Calibri" w:hAnsi="Calibri" w:eastAsia="Calibri"/>
                <w:b w:val="0"/>
                <w:i w:val="0"/>
                <w:color w:val="5D6B78"/>
                <w:sz w:val="13"/>
              </w:rPr>
              <w:t>Leiper JB et al. (2001). Gastric emptying and intestinal absorption during exercise. Journal of Sports Sciences.</w:t>
            </w:r>
          </w:p>
        </w:tc>
      </w:tr>
    </w:tbl>
    <w:sectPr w:rsidR="00FC693F" w:rsidRPr="0006063C" w:rsidSect="00034616">
      <w:headerReference w:type="default" r:id="rId9"/>
      <w:footerReference w:type="default" r:id="rId10"/>
      <w:pgSz w:w="11906" w:h="16838"/>
      <w:pgMar w:top="850" w:right="964" w:bottom="794"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Lines w:val="0"/>
      <w:widowControl/>
      <w:spacing w:before="0" w:after="0" w:line="240" w:lineRule="auto"/>
      <w:jc w:val="right"/>
    </w:pPr>
    <w:r>
      <w:rPr>
        <w:rFonts w:ascii="Calibri" w:hAnsi="Calibri" w:eastAsia="Calibri"/>
        <w:b w:val="0"/>
        <w:i w:val="0"/>
        <w:color w:val="5D6B78"/>
        <w:sz w:val="16"/>
      </w:rPr>
      <w:t xml:space="preserve">Side </w:t>
    </w:r>
    <w:r>
      <w:rPr>
        <w:rFonts w:ascii="Calibri" w:hAnsi="Calibri" w:eastAsia="Calibri"/>
        <w:color w:val="5D6B78"/>
        <w:sz w:val="16"/>
      </w:rPr>
      <w:fldChar w:fldCharType="begin"/>
      <w:instrText xml:space="preserve">PAGE</w:instrText>
      <w:fldChar w:fldCharType="end"/>
    </w:r>
    <w:r>
      <w:rPr>
        <w:rFonts w:ascii="Calibri" w:hAnsi="Calibri" w:eastAsia="Calibri"/>
        <w:b w:val="0"/>
        <w:i w:val="0"/>
        <w:color w:val="5D6B78"/>
        <w:sz w:val="16"/>
      </w:rPr>
      <w:t xml:space="preserve"> af </w:t>
    </w:r>
    <w:r>
      <w:rPr>
        <w:rFonts w:ascii="Calibri" w:hAnsi="Calibri" w:eastAsia="Calibri"/>
        <w:color w:val="5D6B78"/>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Lines w:val="0"/>
      <w:widowControl/>
      <w:spacing w:before="0" w:after="0" w:line="240" w:lineRule="auto"/>
      <w:jc w:val="left"/>
    </w:pPr>
    <w:r>
      <w:rPr>
        <w:rFonts w:ascii="Calibri" w:hAnsi="Calibri" w:eastAsia="Calibri"/>
        <w:b/>
        <w:i w:val="0"/>
        <w:color w:val="153A5B"/>
        <w:sz w:val="16"/>
      </w:rPr>
      <w:t>DIABETES-DYSTEN</w:t>
    </w:r>
    <w:r>
      <w:rPr>
        <w:rFonts w:ascii="Calibri" w:hAnsi="Calibri" w:eastAsia="Calibri"/>
        <w:b w:val="0"/>
        <w:i w:val="0"/>
        <w:color w:val="5D6B78"/>
        <w:sz w:val="16"/>
      </w:rPr>
      <w:t xml:space="preserve">   |   FYSIOLOGISK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Calibri" w:hAnsi="Calibri" w:eastAsia="Calibri"/>
      <w:color w:val="22313F"/>
      <w:sz w:val="19"/>
      <w:lang w:val="da-DK"/>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lang w:val="da-DK"/>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 fysiologiske model i Diabetes-Dysten</dc:title>
  <dc:subject>Teknisk og pædagogisk modeloverblik</dc:subject>
  <dc:creator>Diabetes-Dysten</dc:creator>
  <cp:keywords>type 1-diabetes, fysiologi, simulation, læringsmål</cp:keywords>
  <dc:description>generated by python-docx</dc:description>
  <cp:lastModifiedBy/>
  <cp:revision>1</cp:revision>
  <dcterms:created xsi:type="dcterms:W3CDTF">2013-12-23T23:15:00Z</dcterms:created>
  <dcterms:modified xsi:type="dcterms:W3CDTF">2013-12-23T23:15:00Z</dcterms:modified>
  <cp:category/>
</cp:coreProperties>
</file>