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sz w:val="48"/>
        </w:rPr>
        <w:t>WEEK 1 INTERNSHIP REPORT</w:t>
      </w:r>
    </w:p>
    <w:p>
      <w:pPr>
        <w:jc w:val="center"/>
      </w:pPr>
      <w:r>
        <w:rPr>
          <w:b/>
          <w:sz w:val="36"/>
        </w:rPr>
        <w:t>Cyber Security Landscape Analysis for Digital Services</w:t>
      </w:r>
    </w:p>
    <w:p>
      <w:pPr>
        <w:jc w:val="center"/>
      </w:pPr>
      <w:r>
        <w:rPr>
          <w:sz w:val="26"/>
        </w:rPr>
        <w:br/>
        <w:t>Junior Cyber Security Analyst – E-Governance &amp; Digital Services</w:t>
        <w:br/>
      </w:r>
      <w:r>
        <w:rPr>
          <w:sz w:val="24"/>
        </w:rPr>
        <w:t>YuvaIntern Internship Programme</w:t>
        <w:br/>
        <w:br/>
      </w:r>
      <w:r>
        <w:rPr>
          <w:sz w:val="24"/>
        </w:rPr>
        <w:t>Prepared by: Raushan Kumar</w:t>
        <w:br/>
      </w:r>
      <w:r>
        <w:rPr>
          <w:sz w:val="22"/>
        </w:rPr>
        <w:t>Internship Duration: 19 August 2026 – 30 September 2026</w:t>
        <w:br/>
      </w:r>
      <w:r>
        <w:rPr>
          <w:sz w:val="22"/>
        </w:rPr>
        <w:t>Week 1 Submission</w:t>
        <w:br/>
      </w:r>
      <w:r>
        <w:rPr>
          <w:sz w:val="22"/>
        </w:rPr>
        <w:t>Date: 21 August 2026</w:t>
      </w:r>
    </w:p>
    <w:p>
      <w:pPr>
        <w:jc w:val="center"/>
      </w:pPr>
      <w:r>
        <w:rPr>
          <w:b/>
        </w:rPr>
        <w:br/>
        <w:t>Confidentiality Note</w:t>
        <w:br/>
      </w:r>
      <w:r>
        <w:t>This report is an academic and internship-oriented analysis based on publicly available information. It does not involve unauthorized scanning, penetration testing, exploitation, or access to any government information system.</w:t>
      </w:r>
    </w:p>
    <w:p>
      <w:r>
        <w:br w:type="page"/>
      </w:r>
    </w:p>
    <w:p>
      <w:pPr>
        <w:pStyle w:val="Heading1"/>
      </w:pPr>
      <w:r>
        <w:t>1. Executive Summary</w:t>
      </w:r>
    </w:p>
    <w:p>
      <w:r>
        <w:t>Digital government services have become essential infrastructure for citizens, businesses, and public administration. Services such as online applications, identity verification, payments, certificates, grievance portals, benefit delivery, document repositories, and mobile applications depend on interconnected web applications, APIs, databases, cloud infrastructure, identity systems, and third-party services. This connectivity improves accessibility and efficiency, but it also creates a broad cyber-attack surface.</w:t>
      </w:r>
    </w:p>
    <w:p>
      <w:r>
        <w:t>This report analyzes the cybersecurity landscape affecting digital public services, with particular focus on five major threat areas: ransomware and destructive malware, phishing and social engineering, data breaches and unauthorized disclosure, distributed denial-of-service (DDoS) and service disruption, and web/API vulnerabilities. The analysis uses public guidance from the Indian Computer Emergency Response Team (CERT-In), the National Institute of Standards and Technology (NIST), OWASP, and Indian data-protection legislation.</w:t>
      </w:r>
    </w:p>
    <w:p>
      <w:r>
        <w:t>CERT-In’s May 2025 advisory identified a surge in ransomware, DDoS incidents, website defacement, data breaches, and malware infections, emphasizing the potential effect on confidentiality, integrity, and availability. The advisory also recommends stronger authentication and access control, patch management, backups, monitoring, and incident response. This provides a useful Indian context for assessing risks to public digital services.</w:t>
      </w:r>
    </w:p>
    <w:p>
      <w:r>
        <w:t>The report applies a qualitative risk methodology using likelihood and impact. On this basis, phishing/social engineering, data breach, ransomware, and web/API security weaknesses are assessed as high to critical priorities, while DDoS is assessed as a high availability risk. The exact rating for a particular government service would depend on its architecture, exposure, data sensitivity, controls, and threat intelligence.</w:t>
      </w:r>
    </w:p>
    <w:p>
      <w:r>
        <w:t>The recommendations emphasize a defense-in-depth approach: multi-factor authentication, least privilege and role-based access control, secure software development, API security, vulnerability and patch management, network segmentation, encryption, tested offline backups, centralized logging and monitoring, DDoS protection, third-party risk management, staff awareness, and a tested incident response plan. NIST Cybersecurity Framework 2.0 is used as a strategic reference because it provides a common structure for governing and managing cybersecurity risk.</w:t>
      </w:r>
    </w:p>
    <w:p>
      <w:r>
        <w:t>The overall conclusion is that cybersecurity for e-governance cannot be treated as a purely technical issue. It is a service-continuity, privacy, public-trust, and governance issue. A resilient digital public service must protect information while remaining available and usable to legitimate citizens, employees, and partner organizations.</w:t>
      </w:r>
    </w:p>
    <w:p>
      <w:pPr>
        <w:pStyle w:val="Heading2"/>
      </w:pPr>
      <w:r>
        <w:t>Report Objectives</w:t>
      </w:r>
    </w:p>
    <w:p>
      <w:pPr>
        <w:pStyle w:val="ListBullet"/>
        <w:spacing w:after="60"/>
      </w:pPr>
      <w:r>
        <w:t>Identify major cyber threats relevant to digital government services.</w:t>
      </w:r>
    </w:p>
    <w:p>
      <w:pPr>
        <w:pStyle w:val="ListBullet"/>
        <w:spacing w:after="60"/>
      </w:pPr>
      <w:r>
        <w:t>Analyze common technical and organizational vulnerabilities without performing unauthorized testing.</w:t>
      </w:r>
    </w:p>
    <w:p>
      <w:pPr>
        <w:pStyle w:val="ListBullet"/>
        <w:spacing w:after="60"/>
      </w:pPr>
      <w:r>
        <w:t>Develop a qualitative risk matrix based on likelihood and potential impact.</w:t>
      </w:r>
    </w:p>
    <w:p>
      <w:pPr>
        <w:pStyle w:val="ListBullet"/>
        <w:spacing w:after="60"/>
      </w:pPr>
      <w:r>
        <w:t>Recommend practical controls aligned with recognized cybersecurity practices.</w:t>
      </w:r>
    </w:p>
    <w:p>
      <w:pPr>
        <w:pStyle w:val="ListBullet"/>
        <w:spacing w:after="60"/>
      </w:pPr>
      <w:r>
        <w:t>Provide a structured reference document for improving cybersecurity resilience in digital public services.</w:t>
      </w:r>
    </w:p>
    <w:p>
      <w:r>
        <w:br w:type="page"/>
      </w:r>
    </w:p>
    <w:p>
      <w:pPr>
        <w:pStyle w:val="Heading1"/>
      </w:pPr>
      <w:r>
        <w:t>2. Scope, Assumptions and Methodology</w:t>
      </w:r>
    </w:p>
    <w:p>
      <w:pPr>
        <w:pStyle w:val="Heading2"/>
      </w:pPr>
      <w:r>
        <w:t>2.1 Scope</w:t>
      </w:r>
    </w:p>
    <w:p>
      <w:r>
        <w:t>The scope covers public-facing and supporting digital services used by government departments and public-sector organizations. Examples include citizen-service portals, online application systems, payment and fee platforms, digital identity integrations, certificate services, grievance systems, mobile applications, APIs, cloud-hosted workloads, and internal administrative systems connected to public services.</w:t>
      </w:r>
    </w:p>
    <w:p>
      <w:r>
        <w:t>The report does not assess a particular government organization or claim that a named service is vulnerable. Instead, it presents a generalized threat and risk analysis that can be adapted to an individual e-governance environment after authorized security assessment.</w:t>
      </w:r>
    </w:p>
    <w:p>
      <w:pPr>
        <w:pStyle w:val="Heading2"/>
      </w:pPr>
      <w:r>
        <w:t>2.2 Security Objectives</w:t>
      </w:r>
    </w:p>
    <w:p>
      <w:r>
        <w:t>The analysis follows the traditional confidentiality, integrity, and availability objectives. Confidentiality means preventing unauthorized disclosure of citizen, employee, financial, or administrative information. Integrity means preventing unauthorized modification of records, transactions, configurations, or official content. Availability means ensuring that legitimate users can access essential services when required.</w:t>
      </w:r>
    </w:p>
    <w:p>
      <w:pPr>
        <w:pStyle w:val="Heading2"/>
      </w:pPr>
      <w:r>
        <w:t>2.3 Methodology</w:t>
      </w:r>
    </w:p>
    <w:p>
      <w:r>
        <w:t>The research approach consisted of reviewing authoritative public cybersecurity guidance and translating it into an e-governance risk model. CERT-In advisories were used for India-specific threat and defensive context. OWASP API Security Top 10 was used to identify application and API weaknesses. NIST Cybersecurity Framework 2.0 was used as a governance and risk-management reference. Indian data-protection requirements were considered when discussing personal-data risks.</w:t>
      </w:r>
    </w:p>
    <w:p>
      <w:r>
        <w:t>For the qualitative risk matrix, likelihood and impact are each scored from 1 to 5. Likelihood represents how plausible or frequent successful exploitation may be in a typical exposed digital-service environment. Impact considers potential effects on service availability, personal data, financial loss, public trust, legal/regulatory exposure, and government operations. Risk score is calculated as Likelihood × Impact.</w:t>
      </w:r>
    </w:p>
    <w:p>
      <w:pPr>
        <w:pStyle w:val="Heading2"/>
      </w:pPr>
      <w:r>
        <w:t>2.4 Risk Rating Scale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Pr>
                <w:rFonts w:ascii="Arial" w:hAnsi="Arial"/>
                <w:sz w:val="16"/>
              </w:rPr>
              <w:t>Score</w:t>
            </w:r>
          </w:p>
        </w:tc>
        <w:tc>
          <w:tcPr>
            <w:tcW w:type="dxa" w:w="2484"/>
            <w:shd w:fill="D9EAF7"/>
            <w:vAlign w:val="center"/>
          </w:tcPr>
          <w:p>
            <w:r>
              <w:rPr>
                <w:rFonts w:ascii="Arial" w:hAnsi="Arial"/>
                <w:sz w:val="16"/>
              </w:rPr>
              <w:t>Rating</w:t>
            </w:r>
          </w:p>
        </w:tc>
        <w:tc>
          <w:tcPr>
            <w:tcW w:type="dxa" w:w="2484"/>
            <w:shd w:fill="D9EAF7"/>
            <w:vAlign w:val="center"/>
          </w:tcPr>
          <w:p>
            <w:r>
              <w:rPr>
                <w:rFonts w:ascii="Arial" w:hAnsi="Arial"/>
                <w:sz w:val="16"/>
              </w:rPr>
              <w:t>Meaning</w:t>
            </w:r>
          </w:p>
        </w:tc>
        <w:tc>
          <w:tcPr>
            <w:tcW w:type="dxa" w:w="2484"/>
            <w:shd w:fill="D9EAF7"/>
            <w:vAlign w:val="center"/>
          </w:tcPr>
          <w:p>
            <w:r>
              <w:rPr>
                <w:rFonts w:ascii="Arial" w:hAnsi="Arial"/>
                <w:sz w:val="16"/>
              </w:rPr>
              <w:t>Priority</w:t>
            </w:r>
          </w:p>
        </w:tc>
      </w:tr>
      <w:tr>
        <w:tc>
          <w:tcPr>
            <w:tcW w:type="dxa" w:w="2484"/>
            <w:vAlign w:val="center"/>
          </w:tcPr>
          <w:p>
            <w:r>
              <w:rPr>
                <w:rFonts w:ascii="Arial" w:hAnsi="Arial"/>
                <w:sz w:val="16"/>
              </w:rPr>
              <w:t>1–4</w:t>
            </w:r>
          </w:p>
        </w:tc>
        <w:tc>
          <w:tcPr>
            <w:tcW w:type="dxa" w:w="2484"/>
            <w:vAlign w:val="center"/>
          </w:tcPr>
          <w:p>
            <w:r>
              <w:rPr>
                <w:rFonts w:ascii="Arial" w:hAnsi="Arial"/>
                <w:sz w:val="16"/>
              </w:rPr>
              <w:t>Low</w:t>
            </w:r>
          </w:p>
        </w:tc>
        <w:tc>
          <w:tcPr>
            <w:tcW w:type="dxa" w:w="2484"/>
            <w:vAlign w:val="center"/>
          </w:tcPr>
          <w:p>
            <w:r>
              <w:rPr>
                <w:rFonts w:ascii="Arial" w:hAnsi="Arial"/>
                <w:sz w:val="16"/>
              </w:rPr>
              <w:t>Limited expected effect; routine controls are generally sufficient.</w:t>
            </w:r>
          </w:p>
        </w:tc>
        <w:tc>
          <w:tcPr>
            <w:tcW w:type="dxa" w:w="2484"/>
            <w:vAlign w:val="center"/>
          </w:tcPr>
          <w:p>
            <w:r>
              <w:rPr>
                <w:rFonts w:ascii="Arial" w:hAnsi="Arial"/>
                <w:sz w:val="16"/>
              </w:rPr>
              <w:t>Monitor</w:t>
            </w:r>
          </w:p>
        </w:tc>
      </w:tr>
      <w:tr>
        <w:tc>
          <w:tcPr>
            <w:tcW w:type="dxa" w:w="2484"/>
            <w:vAlign w:val="center"/>
          </w:tcPr>
          <w:p>
            <w:r>
              <w:rPr>
                <w:rFonts w:ascii="Arial" w:hAnsi="Arial"/>
                <w:sz w:val="16"/>
              </w:rPr>
              <w:t>5–9</w:t>
            </w:r>
          </w:p>
        </w:tc>
        <w:tc>
          <w:tcPr>
            <w:tcW w:type="dxa" w:w="2484"/>
            <w:vAlign w:val="center"/>
          </w:tcPr>
          <w:p>
            <w:r>
              <w:rPr>
                <w:rFonts w:ascii="Arial" w:hAnsi="Arial"/>
                <w:sz w:val="16"/>
              </w:rPr>
              <w:t>Moderate</w:t>
            </w:r>
          </w:p>
        </w:tc>
        <w:tc>
          <w:tcPr>
            <w:tcW w:type="dxa" w:w="2484"/>
            <w:vAlign w:val="center"/>
          </w:tcPr>
          <w:p>
            <w:r>
              <w:rPr>
                <w:rFonts w:ascii="Arial" w:hAnsi="Arial"/>
                <w:sz w:val="16"/>
              </w:rPr>
              <w:t>Meaningful risk requiring planned treatment.</w:t>
            </w:r>
          </w:p>
        </w:tc>
        <w:tc>
          <w:tcPr>
            <w:tcW w:type="dxa" w:w="2484"/>
            <w:vAlign w:val="center"/>
          </w:tcPr>
          <w:p>
            <w:r>
              <w:rPr>
                <w:rFonts w:ascii="Arial" w:hAnsi="Arial"/>
                <w:sz w:val="16"/>
              </w:rPr>
              <w:t>Planned action</w:t>
            </w:r>
          </w:p>
        </w:tc>
      </w:tr>
      <w:tr>
        <w:tc>
          <w:tcPr>
            <w:tcW w:type="dxa" w:w="2484"/>
            <w:vAlign w:val="center"/>
          </w:tcPr>
          <w:p>
            <w:r>
              <w:rPr>
                <w:rFonts w:ascii="Arial" w:hAnsi="Arial"/>
                <w:sz w:val="16"/>
              </w:rPr>
              <w:t>10–16</w:t>
            </w:r>
          </w:p>
        </w:tc>
        <w:tc>
          <w:tcPr>
            <w:tcW w:type="dxa" w:w="2484"/>
            <w:vAlign w:val="center"/>
          </w:tcPr>
          <w:p>
            <w:r>
              <w:rPr>
                <w:rFonts w:ascii="Arial" w:hAnsi="Arial"/>
                <w:sz w:val="16"/>
              </w:rPr>
              <w:t>High</w:t>
            </w:r>
          </w:p>
        </w:tc>
        <w:tc>
          <w:tcPr>
            <w:tcW w:type="dxa" w:w="2484"/>
            <w:vAlign w:val="center"/>
          </w:tcPr>
          <w:p>
            <w:r>
              <w:rPr>
                <w:rFonts w:ascii="Arial" w:hAnsi="Arial"/>
                <w:sz w:val="16"/>
              </w:rPr>
              <w:t>Significant likelihood or impact; treatment should be prioritized.</w:t>
            </w:r>
          </w:p>
        </w:tc>
        <w:tc>
          <w:tcPr>
            <w:tcW w:type="dxa" w:w="2484"/>
            <w:vAlign w:val="center"/>
          </w:tcPr>
          <w:p>
            <w:r>
              <w:rPr>
                <w:rFonts w:ascii="Arial" w:hAnsi="Arial"/>
                <w:sz w:val="16"/>
              </w:rPr>
              <w:t>High priority</w:t>
            </w:r>
          </w:p>
        </w:tc>
      </w:tr>
      <w:tr>
        <w:tc>
          <w:tcPr>
            <w:tcW w:type="dxa" w:w="2484"/>
            <w:vAlign w:val="center"/>
          </w:tcPr>
          <w:p>
            <w:r>
              <w:rPr>
                <w:rFonts w:ascii="Arial" w:hAnsi="Arial"/>
                <w:sz w:val="16"/>
              </w:rPr>
              <w:t>17–25</w:t>
            </w:r>
          </w:p>
        </w:tc>
        <w:tc>
          <w:tcPr>
            <w:tcW w:type="dxa" w:w="2484"/>
            <w:vAlign w:val="center"/>
          </w:tcPr>
          <w:p>
            <w:r>
              <w:rPr>
                <w:rFonts w:ascii="Arial" w:hAnsi="Arial"/>
                <w:sz w:val="16"/>
              </w:rPr>
              <w:t>Critical</w:t>
            </w:r>
          </w:p>
        </w:tc>
        <w:tc>
          <w:tcPr>
            <w:tcW w:type="dxa" w:w="2484"/>
            <w:vAlign w:val="center"/>
          </w:tcPr>
          <w:p>
            <w:r>
              <w:rPr>
                <w:rFonts w:ascii="Arial" w:hAnsi="Arial"/>
                <w:sz w:val="16"/>
              </w:rPr>
              <w:t>Potential for severe disruption, compromise, or loss.</w:t>
            </w:r>
          </w:p>
        </w:tc>
        <w:tc>
          <w:tcPr>
            <w:tcW w:type="dxa" w:w="2484"/>
            <w:vAlign w:val="center"/>
          </w:tcPr>
          <w:p>
            <w:r>
              <w:rPr>
                <w:rFonts w:ascii="Arial" w:hAnsi="Arial"/>
                <w:sz w:val="16"/>
              </w:rPr>
              <w:t>Immediate priority</w:t>
            </w:r>
          </w:p>
        </w:tc>
      </w:tr>
    </w:tbl>
    <w:p>
      <w:pPr>
        <w:pStyle w:val="Heading2"/>
      </w:pPr>
      <w:r>
        <w:t>2.5 Limitations</w:t>
      </w:r>
    </w:p>
    <w:p>
      <w:r>
        <w:t>This is a desk-based assessment and not a penetration test, vulnerability assessment, source-code review, or audit. Public information may not reveal the internal architecture, security controls, incident history, or asset inventory of a particular government system. Therefore, risk ratings are indicative and should be validated through authorized technical assessments, threat modeling, asset discovery, vulnerability management, and incident data.</w:t>
      </w:r>
    </w:p>
    <w:p>
      <w:r>
        <w:br w:type="page"/>
      </w:r>
    </w:p>
    <w:p>
      <w:pPr>
        <w:pStyle w:val="Heading1"/>
      </w:pPr>
      <w:r>
        <w:t>3. Cybersecurity Landscape of Digital Government Services</w:t>
      </w:r>
    </w:p>
    <w:p>
      <w:r>
        <w:t>Modern e-governance platforms are typically ecosystems rather than single applications. A citizen-facing portal may depend on identity providers, databases, payment gateways, messaging systems, document services, cloud infrastructure, content delivery networks, APIs, analytics platforms, and external vendors. Each dependency introduces potential security and availability considerations.</w:t>
      </w:r>
    </w:p>
    <w:p>
      <w:pPr>
        <w:pStyle w:val="Heading2"/>
      </w:pPr>
      <w:r>
        <w:t>3.1 Expanding Attack Surface</w:t>
      </w:r>
    </w:p>
    <w:p>
      <w:r>
        <w:t>The move from traditional departmental applications to web, mobile, cloud, and API-driven services increases the number of components that must be protected. Public APIs may expose sensitive business functions and personal information. OWASP notes that APIs are widely used in modern applications and can expose application logic and sensitive data, making API-specific security controls important.</w:t>
      </w:r>
    </w:p>
    <w:p>
      <w:r>
        <w:t>An expanding attack surface does not mean that digital government is inherently unsafe. It means that security must be designed across the entire service lifecycle. Asset inventory, secure architecture, identity management, software supply-chain controls, monitoring, and incident response need to operate together.</w:t>
      </w:r>
    </w:p>
    <w:p>
      <w:pPr>
        <w:pStyle w:val="Heading2"/>
      </w:pPr>
      <w:r>
        <w:t>3.2 High-Value Data</w:t>
      </w:r>
    </w:p>
    <w:p>
      <w:r>
        <w:t>Government services can process names, addresses, identification information, contact details, applications, financial information, benefit records, certificates, and administrative records. A compromise can therefore affect individuals as well as government operations. India’s Digital Personal Data Protection Act, 2023 establishes a legal framework concerning processing of digital personal data and the rights and obligations associated with such processing.</w:t>
      </w:r>
    </w:p>
    <w:p>
      <w:pPr>
        <w:pStyle w:val="Heading2"/>
      </w:pPr>
      <w:r>
        <w:t>3.3 Availability as a Public-Service Requirement</w:t>
      </w:r>
    </w:p>
    <w:p>
      <w:r>
        <w:t>For commercial services, downtime can result in lost revenue. For government services, downtime can prevent citizens from applying for benefits, obtaining certificates, making payments, submitting forms, or accessing important information. Consequently, DDoS, ransomware, infrastructure failures, and destructive attacks should be considered service-continuity risks rather than only IT problems.</w:t>
      </w:r>
    </w:p>
    <w:p>
      <w:pPr>
        <w:pStyle w:val="Heading2"/>
      </w:pPr>
      <w:r>
        <w:t>3.4 Human and Organizational Factors</w:t>
      </w:r>
    </w:p>
    <w:p>
      <w:r>
        <w:t>Technology alone cannot eliminate cyber risk. Employees and contractors can be targeted through phishing, credential theft, social engineering, malicious attachments, fraudulent support requests, or compromised accounts. Security awareness, strong identity controls, clear procedures, and rapid reporting are therefore essential components of an e-governance security program.</w:t>
      </w:r>
    </w:p>
    <w:p>
      <w:pPr>
        <w:pStyle w:val="Heading2"/>
      </w:pPr>
      <w:r>
        <w:t>3.5 Supply-Chain and Third-Party Risk</w:t>
      </w:r>
    </w:p>
    <w:p>
      <w:r>
        <w:t>Digital public services frequently depend on software vendors, cloud providers, managed service providers, payment services, identity integrations, and external APIs. A weakness in a trusted third party can become a pathway into the primary service. Security requirements should therefore extend to vendor selection, contracts, access control, logging, vulnerability disclosure, incident notification, and service continuity.</w:t>
      </w:r>
    </w:p>
    <w:p>
      <w:r>
        <w:br w:type="page"/>
      </w:r>
    </w:p>
    <w:p>
      <w:pPr>
        <w:pStyle w:val="Heading1"/>
      </w:pPr>
      <w:r>
        <w:t>4. Top Five Cyber Threats Affecting Digital Services</w:t>
      </w:r>
    </w:p>
    <w:p>
      <w:pPr>
        <w:pStyle w:val="Heading2"/>
      </w:pPr>
      <w:r>
        <w:t>4.1 Ransomware and Destructive Malware</w:t>
      </w:r>
    </w:p>
    <w:p>
      <w:r>
        <w:t>Ransomware is malware that can deny access to systems or data, commonly by encrypting files, while attackers may also attempt data theft or extortion. In a government environment, ransomware can interrupt citizen services, internal administration, records processing, and supporting infrastructure. CERT-In’s May 2025 advisory specifically identified ransomware among the cyber threats posing significant risk to system integrity, confidentiality, and availability.</w:t>
      </w:r>
    </w:p>
    <w:p>
      <w:r>
        <w:t>Key contributing weaknesses include unpatched systems, compromised credentials, excessive privileges, inadequate segmentation, unsafe remote access, and backups that are accessible from the same environment as production systems.</w:t>
      </w:r>
    </w:p>
    <w:p>
      <w:r>
        <w:t>Priority controls include offline or otherwise protected backups, regular restoration testing, endpoint protection, MFA, least privilege, patch management, network segmentation, application allowlisting where appropriate, and a rehearsed incident response process.</w:t>
      </w:r>
    </w:p>
    <w:p>
      <w:pPr>
        <w:pStyle w:val="Heading2"/>
      </w:pPr>
      <w:r>
        <w:t>4.2 Phishing and Social Engineering</w:t>
      </w:r>
    </w:p>
    <w:p>
      <w:r>
        <w:t>Phishing attacks attempt to persuade users to reveal credentials, approve fraudulent actions, open malicious content, or visit attacker-controlled websites. Government staff may be targeted because their accounts can provide access to administrative systems or sensitive information. Citizens can also be targeted through fraudulent messages impersonating government services.</w:t>
      </w:r>
    </w:p>
    <w:p>
      <w:r>
        <w:t>Controls include phishing-resistant or strong MFA where feasible, secure email gateways, domain protection mechanisms, awareness training, simulated exercises, rapid reporting channels, account-risk monitoring, and procedures for verifying unusual financial or administrative requests.</w:t>
      </w:r>
    </w:p>
    <w:p>
      <w:pPr>
        <w:pStyle w:val="Heading2"/>
      </w:pPr>
      <w:r>
        <w:t>4.3 Data Breach and Unauthorized Disclosure</w:t>
      </w:r>
    </w:p>
    <w:p>
      <w:r>
        <w:t>A data breach can result from stolen credentials, vulnerable applications, insecure APIs, misconfiguration, malware, insider misuse, or compromised third parties. The consequences may include identity-related harm, fraud, privacy violations, operational disruption, reputational damage, and regulatory consequences.</w:t>
      </w:r>
    </w:p>
    <w:p>
      <w:r>
        <w:t>Security measures should include data minimization, encryption in transit and at rest where appropriate, strong access controls, secure secrets management, database monitoring, DLP where justified, retention controls, logging, regular access reviews, and a defined breach-response process.</w:t>
      </w:r>
    </w:p>
    <w:p>
      <w:pPr>
        <w:pStyle w:val="Heading2"/>
      </w:pPr>
      <w:r>
        <w:t>4.4 DDoS and Service Disruption</w:t>
      </w:r>
    </w:p>
    <w:p>
      <w:r>
        <w:t>Distributed denial-of-service attacks attempt to overwhelm a service or its supporting infrastructure with large volumes of traffic or requests. For a public portal, even a temporary outage can prevent citizens from completing time-sensitive services. DDoS risk should be managed through traffic filtering, rate limiting, CDN or upstream protection, capacity planning, resilient DNS and network architecture, monitoring, and a documented escalation process.</w:t>
      </w:r>
    </w:p>
    <w:p>
      <w:r>
        <w:t>API-specific resource consumption is also important. OWASP identifies unrestricted resource consumption as an API risk because excessive requests can consume bandwidth, CPU, memory, storage, or paid third-party resources and can lead to denial of service or increased operating costs.</w:t>
      </w:r>
    </w:p>
    <w:p>
      <w:pPr>
        <w:pStyle w:val="Heading2"/>
      </w:pPr>
      <w:r>
        <w:t>4.5 Web and API Vulnerabilities</w:t>
      </w:r>
    </w:p>
    <w:p>
      <w:r>
        <w:t>Web applications and APIs are critical attack surfaces. OWASP’s API Security Top 10 includes broken object-level authorization, broken authentication, broken function-level authorization, unrestricted resource consumption, SSRF, security misconfiguration, improper inventory management, and unsafe consumption of APIs. These weaknesses can expose records, permit unauthorized actions, or disrupt services.</w:t>
      </w:r>
    </w:p>
    <w:p>
      <w:r>
        <w:t>Controls should include secure software development lifecycle practices, threat modeling, code review, security testing, API gateway controls, authorization checks on every sensitive operation, rate limiting, schema validation, secure configuration, API inventory, secrets protection, and continuous vulnerability management.</w:t>
      </w:r>
    </w:p>
    <w:p>
      <w:r>
        <w:br w:type="page"/>
      </w:r>
    </w:p>
    <w:p>
      <w:pPr>
        <w:pStyle w:val="Heading1"/>
      </w:pPr>
      <w:r>
        <w:t>5. Vulnerability Analysis</w:t>
      </w:r>
    </w:p>
    <w:p>
      <w:r>
        <w:t>The following vulnerability categories represent common weaknesses that may exist in an e-governance environment. They are not claims about any specific government portal.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Pr>
                <w:rFonts w:ascii="Arial" w:hAnsi="Arial"/>
                <w:sz w:val="16"/>
              </w:rPr>
              <w:t>Vulnerability Area</w:t>
            </w:r>
          </w:p>
        </w:tc>
        <w:tc>
          <w:tcPr>
            <w:tcW w:type="dxa" w:w="2484"/>
            <w:shd w:fill="D9EAF7"/>
            <w:vAlign w:val="center"/>
          </w:tcPr>
          <w:p>
            <w:r>
              <w:rPr>
                <w:rFonts w:ascii="Arial" w:hAnsi="Arial"/>
                <w:sz w:val="16"/>
              </w:rPr>
              <w:t>Typical Weakness</w:t>
            </w:r>
          </w:p>
        </w:tc>
        <w:tc>
          <w:tcPr>
            <w:tcW w:type="dxa" w:w="2484"/>
            <w:shd w:fill="D9EAF7"/>
            <w:vAlign w:val="center"/>
          </w:tcPr>
          <w:p>
            <w:r>
              <w:rPr>
                <w:rFonts w:ascii="Arial" w:hAnsi="Arial"/>
                <w:sz w:val="16"/>
              </w:rPr>
              <w:t>Potential Consequence</w:t>
            </w:r>
          </w:p>
        </w:tc>
        <w:tc>
          <w:tcPr>
            <w:tcW w:type="dxa" w:w="2484"/>
            <w:shd w:fill="D9EAF7"/>
            <w:vAlign w:val="center"/>
          </w:tcPr>
          <w:p>
            <w:r>
              <w:rPr>
                <w:rFonts w:ascii="Arial" w:hAnsi="Arial"/>
                <w:sz w:val="16"/>
              </w:rPr>
              <w:t>Recommended Control</w:t>
            </w:r>
          </w:p>
        </w:tc>
      </w:tr>
      <w:tr>
        <w:tc>
          <w:tcPr>
            <w:tcW w:type="dxa" w:w="2484"/>
            <w:vAlign w:val="center"/>
          </w:tcPr>
          <w:p>
            <w:r>
              <w:rPr>
                <w:rFonts w:ascii="Arial" w:hAnsi="Arial"/>
                <w:sz w:val="16"/>
              </w:rPr>
              <w:t>Identity &amp; Access</w:t>
            </w:r>
          </w:p>
        </w:tc>
        <w:tc>
          <w:tcPr>
            <w:tcW w:type="dxa" w:w="2484"/>
            <w:vAlign w:val="center"/>
          </w:tcPr>
          <w:p>
            <w:r>
              <w:rPr>
                <w:rFonts w:ascii="Arial" w:hAnsi="Arial"/>
                <w:sz w:val="16"/>
              </w:rPr>
              <w:t>Weak passwords, missing MFA, excessive privileges</w:t>
            </w:r>
          </w:p>
        </w:tc>
        <w:tc>
          <w:tcPr>
            <w:tcW w:type="dxa" w:w="2484"/>
            <w:vAlign w:val="center"/>
          </w:tcPr>
          <w:p>
            <w:r>
              <w:rPr>
                <w:rFonts w:ascii="Arial" w:hAnsi="Arial"/>
                <w:sz w:val="16"/>
              </w:rPr>
              <w:t>Account takeover; unauthorized access</w:t>
            </w:r>
          </w:p>
        </w:tc>
        <w:tc>
          <w:tcPr>
            <w:tcW w:type="dxa" w:w="2484"/>
            <w:vAlign w:val="center"/>
          </w:tcPr>
          <w:p>
            <w:r>
              <w:rPr>
                <w:rFonts w:ascii="Arial" w:hAnsi="Arial"/>
                <w:sz w:val="16"/>
              </w:rPr>
              <w:t>MFA, RBAC, least privilege, access reviews</w:t>
            </w:r>
          </w:p>
        </w:tc>
      </w:tr>
      <w:tr>
        <w:tc>
          <w:tcPr>
            <w:tcW w:type="dxa" w:w="2484"/>
            <w:vAlign w:val="center"/>
          </w:tcPr>
          <w:p>
            <w:r>
              <w:rPr>
                <w:rFonts w:ascii="Arial" w:hAnsi="Arial"/>
                <w:sz w:val="16"/>
              </w:rPr>
              <w:t>Web/API Authorization</w:t>
            </w:r>
          </w:p>
        </w:tc>
        <w:tc>
          <w:tcPr>
            <w:tcW w:type="dxa" w:w="2484"/>
            <w:vAlign w:val="center"/>
          </w:tcPr>
          <w:p>
            <w:r>
              <w:rPr>
                <w:rFonts w:ascii="Arial" w:hAnsi="Arial"/>
                <w:sz w:val="16"/>
              </w:rPr>
              <w:t>Object/function authorization not enforced consistently</w:t>
            </w:r>
          </w:p>
        </w:tc>
        <w:tc>
          <w:tcPr>
            <w:tcW w:type="dxa" w:w="2484"/>
            <w:vAlign w:val="center"/>
          </w:tcPr>
          <w:p>
            <w:r>
              <w:rPr>
                <w:rFonts w:ascii="Arial" w:hAnsi="Arial"/>
                <w:sz w:val="16"/>
              </w:rPr>
              <w:t>Unauthorized data access or actions</w:t>
            </w:r>
          </w:p>
        </w:tc>
        <w:tc>
          <w:tcPr>
            <w:tcW w:type="dxa" w:w="2484"/>
            <w:vAlign w:val="center"/>
          </w:tcPr>
          <w:p>
            <w:r>
              <w:rPr>
                <w:rFonts w:ascii="Arial" w:hAnsi="Arial"/>
                <w:sz w:val="16"/>
              </w:rPr>
              <w:t>Server-side authorization on every sensitive request</w:t>
            </w:r>
          </w:p>
        </w:tc>
      </w:tr>
      <w:tr>
        <w:tc>
          <w:tcPr>
            <w:tcW w:type="dxa" w:w="2484"/>
            <w:vAlign w:val="center"/>
          </w:tcPr>
          <w:p>
            <w:r>
              <w:rPr>
                <w:rFonts w:ascii="Arial" w:hAnsi="Arial"/>
                <w:sz w:val="16"/>
              </w:rPr>
              <w:t>Patch Management</w:t>
            </w:r>
          </w:p>
        </w:tc>
        <w:tc>
          <w:tcPr>
            <w:tcW w:type="dxa" w:w="2484"/>
            <w:vAlign w:val="center"/>
          </w:tcPr>
          <w:p>
            <w:r>
              <w:rPr>
                <w:rFonts w:ascii="Arial" w:hAnsi="Arial"/>
                <w:sz w:val="16"/>
              </w:rPr>
              <w:t>Delayed updates and unsupported software</w:t>
            </w:r>
          </w:p>
        </w:tc>
        <w:tc>
          <w:tcPr>
            <w:tcW w:type="dxa" w:w="2484"/>
            <w:vAlign w:val="center"/>
          </w:tcPr>
          <w:p>
            <w:r>
              <w:rPr>
                <w:rFonts w:ascii="Arial" w:hAnsi="Arial"/>
                <w:sz w:val="16"/>
              </w:rPr>
              <w:t>Remote compromise, malware, service outage</w:t>
            </w:r>
          </w:p>
        </w:tc>
        <w:tc>
          <w:tcPr>
            <w:tcW w:type="dxa" w:w="2484"/>
            <w:vAlign w:val="center"/>
          </w:tcPr>
          <w:p>
            <w:r>
              <w:rPr>
                <w:rFonts w:ascii="Arial" w:hAnsi="Arial"/>
                <w:sz w:val="16"/>
              </w:rPr>
              <w:t>Asset inventory, risk-based patch SLAs</w:t>
            </w:r>
          </w:p>
        </w:tc>
      </w:tr>
      <w:tr>
        <w:tc>
          <w:tcPr>
            <w:tcW w:type="dxa" w:w="2484"/>
            <w:vAlign w:val="center"/>
          </w:tcPr>
          <w:p>
            <w:r>
              <w:rPr>
                <w:rFonts w:ascii="Arial" w:hAnsi="Arial"/>
                <w:sz w:val="16"/>
              </w:rPr>
              <w:t>Configuration</w:t>
            </w:r>
          </w:p>
        </w:tc>
        <w:tc>
          <w:tcPr>
            <w:tcW w:type="dxa" w:w="2484"/>
            <w:vAlign w:val="center"/>
          </w:tcPr>
          <w:p>
            <w:r>
              <w:rPr>
                <w:rFonts w:ascii="Arial" w:hAnsi="Arial"/>
                <w:sz w:val="16"/>
              </w:rPr>
              <w:t>Default settings, exposed services, insecure cloud storage</w:t>
            </w:r>
          </w:p>
        </w:tc>
        <w:tc>
          <w:tcPr>
            <w:tcW w:type="dxa" w:w="2484"/>
            <w:vAlign w:val="center"/>
          </w:tcPr>
          <w:p>
            <w:r>
              <w:rPr>
                <w:rFonts w:ascii="Arial" w:hAnsi="Arial"/>
                <w:sz w:val="16"/>
              </w:rPr>
              <w:t>Data exposure or unauthorized access</w:t>
            </w:r>
          </w:p>
        </w:tc>
        <w:tc>
          <w:tcPr>
            <w:tcW w:type="dxa" w:w="2484"/>
            <w:vAlign w:val="center"/>
          </w:tcPr>
          <w:p>
            <w:r>
              <w:rPr>
                <w:rFonts w:ascii="Arial" w:hAnsi="Arial"/>
                <w:sz w:val="16"/>
              </w:rPr>
              <w:t>Secure baselines, configuration scanning</w:t>
            </w:r>
          </w:p>
        </w:tc>
      </w:tr>
      <w:tr>
        <w:tc>
          <w:tcPr>
            <w:tcW w:type="dxa" w:w="2484"/>
            <w:vAlign w:val="center"/>
          </w:tcPr>
          <w:p>
            <w:r>
              <w:rPr>
                <w:rFonts w:ascii="Arial" w:hAnsi="Arial"/>
                <w:sz w:val="16"/>
              </w:rPr>
              <w:t>Secrets</w:t>
            </w:r>
          </w:p>
        </w:tc>
        <w:tc>
          <w:tcPr>
            <w:tcW w:type="dxa" w:w="2484"/>
            <w:vAlign w:val="center"/>
          </w:tcPr>
          <w:p>
            <w:r>
              <w:rPr>
                <w:rFonts w:ascii="Arial" w:hAnsi="Arial"/>
                <w:sz w:val="16"/>
              </w:rPr>
              <w:t>Credentials or tokens stored insecurely</w:t>
            </w:r>
          </w:p>
        </w:tc>
        <w:tc>
          <w:tcPr>
            <w:tcW w:type="dxa" w:w="2484"/>
            <w:vAlign w:val="center"/>
          </w:tcPr>
          <w:p>
            <w:r>
              <w:rPr>
                <w:rFonts w:ascii="Arial" w:hAnsi="Arial"/>
                <w:sz w:val="16"/>
              </w:rPr>
              <w:t>System or API compromise</w:t>
            </w:r>
          </w:p>
        </w:tc>
        <w:tc>
          <w:tcPr>
            <w:tcW w:type="dxa" w:w="2484"/>
            <w:vAlign w:val="center"/>
          </w:tcPr>
          <w:p>
            <w:r>
              <w:rPr>
                <w:rFonts w:ascii="Arial" w:hAnsi="Arial"/>
                <w:sz w:val="16"/>
              </w:rPr>
              <w:t>Secret vaults, rotation, no secrets in source code</w:t>
            </w:r>
          </w:p>
        </w:tc>
      </w:tr>
      <w:tr>
        <w:tc>
          <w:tcPr>
            <w:tcW w:type="dxa" w:w="2484"/>
            <w:vAlign w:val="center"/>
          </w:tcPr>
          <w:p>
            <w:r>
              <w:rPr>
                <w:rFonts w:ascii="Arial" w:hAnsi="Arial"/>
                <w:sz w:val="16"/>
              </w:rPr>
              <w:t>Logging &amp; Monitoring</w:t>
            </w:r>
          </w:p>
        </w:tc>
        <w:tc>
          <w:tcPr>
            <w:tcW w:type="dxa" w:w="2484"/>
            <w:vAlign w:val="center"/>
          </w:tcPr>
          <w:p>
            <w:r>
              <w:rPr>
                <w:rFonts w:ascii="Arial" w:hAnsi="Arial"/>
                <w:sz w:val="16"/>
              </w:rPr>
              <w:t>Incomplete logs or weak alerting</w:t>
            </w:r>
          </w:p>
        </w:tc>
        <w:tc>
          <w:tcPr>
            <w:tcW w:type="dxa" w:w="2484"/>
            <w:vAlign w:val="center"/>
          </w:tcPr>
          <w:p>
            <w:r>
              <w:rPr>
                <w:rFonts w:ascii="Arial" w:hAnsi="Arial"/>
                <w:sz w:val="16"/>
              </w:rPr>
              <w:t>Delayed detection and investigation</w:t>
            </w:r>
          </w:p>
        </w:tc>
        <w:tc>
          <w:tcPr>
            <w:tcW w:type="dxa" w:w="2484"/>
            <w:vAlign w:val="center"/>
          </w:tcPr>
          <w:p>
            <w:r>
              <w:rPr>
                <w:rFonts w:ascii="Arial" w:hAnsi="Arial"/>
                <w:sz w:val="16"/>
              </w:rPr>
              <w:t>Centralized logs, SIEM, alert rules, retention</w:t>
            </w:r>
          </w:p>
        </w:tc>
      </w:tr>
      <w:tr>
        <w:tc>
          <w:tcPr>
            <w:tcW w:type="dxa" w:w="2484"/>
            <w:vAlign w:val="center"/>
          </w:tcPr>
          <w:p>
            <w:r>
              <w:rPr>
                <w:rFonts w:ascii="Arial" w:hAnsi="Arial"/>
                <w:sz w:val="16"/>
              </w:rPr>
              <w:t>Backups</w:t>
            </w:r>
          </w:p>
        </w:tc>
        <w:tc>
          <w:tcPr>
            <w:tcW w:type="dxa" w:w="2484"/>
            <w:vAlign w:val="center"/>
          </w:tcPr>
          <w:p>
            <w:r>
              <w:rPr>
                <w:rFonts w:ascii="Arial" w:hAnsi="Arial"/>
                <w:sz w:val="16"/>
              </w:rPr>
              <w:t>Backups online, untested, or incomplete</w:t>
            </w:r>
          </w:p>
        </w:tc>
        <w:tc>
          <w:tcPr>
            <w:tcW w:type="dxa" w:w="2484"/>
            <w:vAlign w:val="center"/>
          </w:tcPr>
          <w:p>
            <w:r>
              <w:rPr>
                <w:rFonts w:ascii="Arial" w:hAnsi="Arial"/>
                <w:sz w:val="16"/>
              </w:rPr>
              <w:t>Data loss and prolonged recovery</w:t>
            </w:r>
          </w:p>
        </w:tc>
        <w:tc>
          <w:tcPr>
            <w:tcW w:type="dxa" w:w="2484"/>
            <w:vAlign w:val="center"/>
          </w:tcPr>
          <w:p>
            <w:r>
              <w:rPr>
                <w:rFonts w:ascii="Arial" w:hAnsi="Arial"/>
                <w:sz w:val="16"/>
              </w:rPr>
              <w:t>Protected backups and routine restoration tests</w:t>
            </w:r>
          </w:p>
        </w:tc>
      </w:tr>
      <w:tr>
        <w:tc>
          <w:tcPr>
            <w:tcW w:type="dxa" w:w="2484"/>
            <w:vAlign w:val="center"/>
          </w:tcPr>
          <w:p>
            <w:r>
              <w:rPr>
                <w:rFonts w:ascii="Arial" w:hAnsi="Arial"/>
                <w:sz w:val="16"/>
              </w:rPr>
              <w:t>Third Parties</w:t>
            </w:r>
          </w:p>
        </w:tc>
        <w:tc>
          <w:tcPr>
            <w:tcW w:type="dxa" w:w="2484"/>
            <w:vAlign w:val="center"/>
          </w:tcPr>
          <w:p>
            <w:r>
              <w:rPr>
                <w:rFonts w:ascii="Arial" w:hAnsi="Arial"/>
                <w:sz w:val="16"/>
              </w:rPr>
              <w:t>Weak vendor controls or exposed integrations</w:t>
            </w:r>
          </w:p>
        </w:tc>
        <w:tc>
          <w:tcPr>
            <w:tcW w:type="dxa" w:w="2484"/>
            <w:vAlign w:val="center"/>
          </w:tcPr>
          <w:p>
            <w:r>
              <w:rPr>
                <w:rFonts w:ascii="Arial" w:hAnsi="Arial"/>
                <w:sz w:val="16"/>
              </w:rPr>
              <w:t>Supply-chain compromise</w:t>
            </w:r>
          </w:p>
        </w:tc>
        <w:tc>
          <w:tcPr>
            <w:tcW w:type="dxa" w:w="2484"/>
            <w:vAlign w:val="center"/>
          </w:tcPr>
          <w:p>
            <w:r>
              <w:rPr>
                <w:rFonts w:ascii="Arial" w:hAnsi="Arial"/>
                <w:sz w:val="16"/>
              </w:rPr>
              <w:t>Vendor assessment, contractual controls, monitoring</w:t>
            </w:r>
          </w:p>
        </w:tc>
      </w:tr>
      <w:tr>
        <w:tc>
          <w:tcPr>
            <w:tcW w:type="dxa" w:w="2484"/>
            <w:vAlign w:val="center"/>
          </w:tcPr>
          <w:p>
            <w:r>
              <w:rPr>
                <w:rFonts w:ascii="Arial" w:hAnsi="Arial"/>
                <w:sz w:val="16"/>
              </w:rPr>
              <w:t>Human Factors</w:t>
            </w:r>
          </w:p>
        </w:tc>
        <w:tc>
          <w:tcPr>
            <w:tcW w:type="dxa" w:w="2484"/>
            <w:vAlign w:val="center"/>
          </w:tcPr>
          <w:p>
            <w:r>
              <w:rPr>
                <w:rFonts w:ascii="Arial" w:hAnsi="Arial"/>
                <w:sz w:val="16"/>
              </w:rPr>
              <w:t>Low awareness and weak verification</w:t>
            </w:r>
          </w:p>
        </w:tc>
        <w:tc>
          <w:tcPr>
            <w:tcW w:type="dxa" w:w="2484"/>
            <w:vAlign w:val="center"/>
          </w:tcPr>
          <w:p>
            <w:r>
              <w:rPr>
                <w:rFonts w:ascii="Arial" w:hAnsi="Arial"/>
                <w:sz w:val="16"/>
              </w:rPr>
              <w:t>Phishing, fraud, credential theft</w:t>
            </w:r>
          </w:p>
        </w:tc>
        <w:tc>
          <w:tcPr>
            <w:tcW w:type="dxa" w:w="2484"/>
            <w:vAlign w:val="center"/>
          </w:tcPr>
          <w:p>
            <w:r>
              <w:rPr>
                <w:rFonts w:ascii="Arial" w:hAnsi="Arial"/>
                <w:sz w:val="16"/>
              </w:rPr>
              <w:t>Training, simulations, verification procedures</w:t>
            </w:r>
          </w:p>
        </w:tc>
      </w:tr>
      <w:tr>
        <w:tc>
          <w:tcPr>
            <w:tcW w:type="dxa" w:w="2484"/>
            <w:vAlign w:val="center"/>
          </w:tcPr>
          <w:p>
            <w:r>
              <w:rPr>
                <w:rFonts w:ascii="Arial" w:hAnsi="Arial"/>
                <w:sz w:val="16"/>
              </w:rPr>
              <w:t>Availability</w:t>
            </w:r>
          </w:p>
        </w:tc>
        <w:tc>
          <w:tcPr>
            <w:tcW w:type="dxa" w:w="2484"/>
            <w:vAlign w:val="center"/>
          </w:tcPr>
          <w:p>
            <w:r>
              <w:rPr>
                <w:rFonts w:ascii="Arial" w:hAnsi="Arial"/>
                <w:sz w:val="16"/>
              </w:rPr>
              <w:t>Single points of failure, weak DDoS protection</w:t>
            </w:r>
          </w:p>
        </w:tc>
        <w:tc>
          <w:tcPr>
            <w:tcW w:type="dxa" w:w="2484"/>
            <w:vAlign w:val="center"/>
          </w:tcPr>
          <w:p>
            <w:r>
              <w:rPr>
                <w:rFonts w:ascii="Arial" w:hAnsi="Arial"/>
                <w:sz w:val="16"/>
              </w:rPr>
              <w:t>Portal outage and service disruption</w:t>
            </w:r>
          </w:p>
        </w:tc>
        <w:tc>
          <w:tcPr>
            <w:tcW w:type="dxa" w:w="2484"/>
            <w:vAlign w:val="center"/>
          </w:tcPr>
          <w:p>
            <w:r>
              <w:rPr>
                <w:rFonts w:ascii="Arial" w:hAnsi="Arial"/>
                <w:sz w:val="16"/>
              </w:rPr>
              <w:t>Redundancy, DDoS controls, capacity planning</w:t>
            </w:r>
          </w:p>
        </w:tc>
      </w:tr>
    </w:tbl>
    <w:p>
      <w:pPr>
        <w:pStyle w:val="Heading2"/>
      </w:pPr>
      <w:r>
        <w:t>5.1 API-Specific Vulnerabilities</w:t>
      </w:r>
    </w:p>
    <w:p>
      <w:r>
        <w:t>OWASP’s 2023 API Security Top 10 is particularly relevant because digital public services increasingly use APIs to connect web portals, mobile applications, identity systems, payment services, and departmental databases. Three recurring themes are especially important: authorization, authentication, and inventory. An API may correctly authenticate a user but still fail to verify whether that user is authorized to access a specific object or perform a specific administrative function.</w:t>
      </w:r>
    </w:p>
    <w:p>
      <w:pPr>
        <w:pStyle w:val="ListBullet"/>
        <w:spacing w:after="60"/>
      </w:pPr>
      <w:r>
        <w:t>Broken Object Level Authorization can allow one authenticated user to access another user's object or record if server-side authorization is not enforced correctly.</w:t>
      </w:r>
    </w:p>
    <w:p>
      <w:pPr>
        <w:pStyle w:val="ListBullet"/>
        <w:spacing w:after="60"/>
      </w:pPr>
      <w:r>
        <w:t>Broken Authentication can allow attackers to compromise sessions or authentication mechanisms.</w:t>
      </w:r>
    </w:p>
    <w:p>
      <w:pPr>
        <w:pStyle w:val="ListBullet"/>
        <w:spacing w:after="60"/>
      </w:pPr>
      <w:r>
        <w:t>Broken Function Level Authorization can expose administrative functions to ordinary users.</w:t>
      </w:r>
    </w:p>
    <w:p>
      <w:pPr>
        <w:pStyle w:val="ListBullet"/>
        <w:spacing w:after="60"/>
      </w:pPr>
      <w:r>
        <w:t>Improper Inventory Management can leave forgotten, deprecated, debug, or undocumented API endpoints exposed.</w:t>
      </w:r>
    </w:p>
    <w:p>
      <w:pPr>
        <w:pStyle w:val="ListBullet"/>
        <w:spacing w:after="60"/>
      </w:pPr>
      <w:r>
        <w:t>Security Misconfiguration can create unintended exposure through insecure settings, headers, services, or cloud configurations.</w:t>
      </w:r>
    </w:p>
    <w:p>
      <w:pPr>
        <w:pStyle w:val="Heading2"/>
      </w:pPr>
      <w:r>
        <w:t>5.2 Governance and Compliance Considerations</w:t>
      </w:r>
    </w:p>
    <w:p>
      <w:r>
        <w:t>Security controls should be connected to governance responsibilities. The Digital Personal Data Protection Act, 2023 provides an important Indian privacy context for organizations processing digital personal data. The Digital Personal Data Protection Rules, 2025 were published by MeitY in November 2025 with a phased commencement structure. Organizations should therefore monitor applicable legal requirements and implementation timelines rather than treating privacy as an optional technical feature.</w:t>
      </w:r>
    </w:p>
    <w:p>
      <w:r>
        <w:br w:type="page"/>
      </w:r>
    </w:p>
    <w:p>
      <w:pPr>
        <w:pStyle w:val="Heading1"/>
      </w:pPr>
      <w:r>
        <w:t>6. Risk Assessment Matrix</w:t>
      </w:r>
    </w:p>
    <w:p>
      <w:r>
        <w:t>The following matrix is a qualitative assessment for a typical exposed digital-service environment. It should be treated as an initial prioritization tool rather than a measured risk score for a particular system.</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D9EAF7"/>
            <w:vAlign w:val="center"/>
          </w:tcPr>
          <w:p>
            <w:r>
              <w:rPr>
                <w:rFonts w:ascii="Arial" w:hAnsi="Arial"/>
                <w:sz w:val="16"/>
              </w:rPr>
              <w:t>Threat / Risk</w:t>
            </w:r>
          </w:p>
        </w:tc>
        <w:tc>
          <w:tcPr>
            <w:tcW w:type="dxa" w:w="1242"/>
            <w:shd w:fill="D9EAF7"/>
            <w:vAlign w:val="center"/>
          </w:tcPr>
          <w:p>
            <w:r>
              <w:rPr>
                <w:rFonts w:ascii="Arial" w:hAnsi="Arial"/>
                <w:sz w:val="16"/>
              </w:rPr>
              <w:t>Likelihood (1–5)</w:t>
            </w:r>
          </w:p>
        </w:tc>
        <w:tc>
          <w:tcPr>
            <w:tcW w:type="dxa" w:w="1242"/>
            <w:shd w:fill="D9EAF7"/>
            <w:vAlign w:val="center"/>
          </w:tcPr>
          <w:p>
            <w:r>
              <w:rPr>
                <w:rFonts w:ascii="Arial" w:hAnsi="Arial"/>
                <w:sz w:val="16"/>
              </w:rPr>
              <w:t>Impact (1–5)</w:t>
            </w:r>
          </w:p>
        </w:tc>
        <w:tc>
          <w:tcPr>
            <w:tcW w:type="dxa" w:w="1242"/>
            <w:shd w:fill="D9EAF7"/>
            <w:vAlign w:val="center"/>
          </w:tcPr>
          <w:p>
            <w:r>
              <w:rPr>
                <w:rFonts w:ascii="Arial" w:hAnsi="Arial"/>
                <w:sz w:val="16"/>
              </w:rPr>
              <w:t>Score</w:t>
            </w:r>
          </w:p>
        </w:tc>
        <w:tc>
          <w:tcPr>
            <w:tcW w:type="dxa" w:w="1242"/>
            <w:shd w:fill="D9EAF7"/>
            <w:vAlign w:val="center"/>
          </w:tcPr>
          <w:p>
            <w:r>
              <w:rPr>
                <w:rFonts w:ascii="Arial" w:hAnsi="Arial"/>
                <w:sz w:val="16"/>
              </w:rPr>
              <w:t>Rating</w:t>
            </w:r>
          </w:p>
        </w:tc>
        <w:tc>
          <w:tcPr>
            <w:tcW w:type="dxa" w:w="1242"/>
            <w:shd w:fill="D9EAF7"/>
            <w:vAlign w:val="center"/>
          </w:tcPr>
          <w:p>
            <w:r>
              <w:rPr>
                <w:rFonts w:ascii="Arial" w:hAnsi="Arial"/>
                <w:sz w:val="16"/>
              </w:rPr>
              <w:t>Primary Assets</w:t>
            </w:r>
          </w:p>
        </w:tc>
        <w:tc>
          <w:tcPr>
            <w:tcW w:type="dxa" w:w="1242"/>
            <w:shd w:fill="D9EAF7"/>
            <w:vAlign w:val="center"/>
          </w:tcPr>
          <w:p>
            <w:r>
              <w:rPr>
                <w:rFonts w:ascii="Arial" w:hAnsi="Arial"/>
                <w:sz w:val="16"/>
              </w:rPr>
              <w:t>Potential Effect</w:t>
            </w:r>
          </w:p>
        </w:tc>
        <w:tc>
          <w:tcPr>
            <w:tcW w:type="dxa" w:w="1242"/>
            <w:shd w:fill="D9EAF7"/>
            <w:vAlign w:val="center"/>
          </w:tcPr>
          <w:p>
            <w:r>
              <w:rPr>
                <w:rFonts w:ascii="Arial" w:hAnsi="Arial"/>
                <w:sz w:val="16"/>
              </w:rPr>
              <w:t>Priority Action</w:t>
            </w:r>
          </w:p>
        </w:tc>
      </w:tr>
      <w:tr>
        <w:tc>
          <w:tcPr>
            <w:tcW w:type="dxa" w:w="1242"/>
            <w:vAlign w:val="center"/>
          </w:tcPr>
          <w:p>
            <w:r>
              <w:rPr>
                <w:rFonts w:ascii="Arial" w:hAnsi="Arial"/>
                <w:sz w:val="16"/>
              </w:rPr>
              <w:t>Phishing / credential theft</w:t>
            </w:r>
          </w:p>
        </w:tc>
        <w:tc>
          <w:tcPr>
            <w:tcW w:type="dxa" w:w="1242"/>
            <w:vAlign w:val="center"/>
          </w:tcPr>
          <w:p>
            <w:r>
              <w:rPr>
                <w:rFonts w:ascii="Arial" w:hAnsi="Arial"/>
                <w:sz w:val="16"/>
              </w:rPr>
              <w:t>5</w:t>
            </w:r>
          </w:p>
        </w:tc>
        <w:tc>
          <w:tcPr>
            <w:tcW w:type="dxa" w:w="1242"/>
            <w:vAlign w:val="center"/>
          </w:tcPr>
          <w:p>
            <w:r>
              <w:rPr>
                <w:rFonts w:ascii="Arial" w:hAnsi="Arial"/>
                <w:sz w:val="16"/>
              </w:rPr>
              <w:t>4</w:t>
            </w:r>
          </w:p>
        </w:tc>
        <w:tc>
          <w:tcPr>
            <w:tcW w:type="dxa" w:w="1242"/>
            <w:vAlign w:val="center"/>
          </w:tcPr>
          <w:p>
            <w:r>
              <w:rPr>
                <w:rFonts w:ascii="Arial" w:hAnsi="Arial"/>
                <w:sz w:val="16"/>
              </w:rPr>
              <w:t>20</w:t>
            </w:r>
          </w:p>
        </w:tc>
        <w:tc>
          <w:tcPr>
            <w:tcW w:type="dxa" w:w="1242"/>
            <w:vAlign w:val="center"/>
          </w:tcPr>
          <w:p>
            <w:r>
              <w:rPr>
                <w:rFonts w:ascii="Arial" w:hAnsi="Arial"/>
                <w:sz w:val="16"/>
              </w:rPr>
              <w:t>Critical</w:t>
            </w:r>
          </w:p>
        </w:tc>
        <w:tc>
          <w:tcPr>
            <w:tcW w:type="dxa" w:w="1242"/>
            <w:vAlign w:val="center"/>
          </w:tcPr>
          <w:p>
            <w:r>
              <w:rPr>
                <w:rFonts w:ascii="Arial" w:hAnsi="Arial"/>
                <w:sz w:val="16"/>
              </w:rPr>
              <w:t>User &amp; admin accounts</w:t>
            </w:r>
          </w:p>
        </w:tc>
        <w:tc>
          <w:tcPr>
            <w:tcW w:type="dxa" w:w="1242"/>
            <w:vAlign w:val="center"/>
          </w:tcPr>
          <w:p>
            <w:r>
              <w:rPr>
                <w:rFonts w:ascii="Arial" w:hAnsi="Arial"/>
                <w:sz w:val="16"/>
              </w:rPr>
              <w:t>Account takeover; fraud; data access</w:t>
            </w:r>
          </w:p>
        </w:tc>
        <w:tc>
          <w:tcPr>
            <w:tcW w:type="dxa" w:w="1242"/>
            <w:vAlign w:val="center"/>
          </w:tcPr>
          <w:p>
            <w:r>
              <w:rPr>
                <w:rFonts w:ascii="Arial" w:hAnsi="Arial"/>
                <w:sz w:val="16"/>
              </w:rPr>
              <w:t>MFA + awareness + monitoring</w:t>
            </w:r>
          </w:p>
        </w:tc>
      </w:tr>
      <w:tr>
        <w:tc>
          <w:tcPr>
            <w:tcW w:type="dxa" w:w="1242"/>
            <w:vAlign w:val="center"/>
          </w:tcPr>
          <w:p>
            <w:r>
              <w:rPr>
                <w:rFonts w:ascii="Arial" w:hAnsi="Arial"/>
                <w:sz w:val="16"/>
              </w:rPr>
              <w:t>Data breach / unauthorized disclosure</w:t>
            </w:r>
          </w:p>
        </w:tc>
        <w:tc>
          <w:tcPr>
            <w:tcW w:type="dxa" w:w="1242"/>
            <w:vAlign w:val="center"/>
          </w:tcPr>
          <w:p>
            <w:r>
              <w:rPr>
                <w:rFonts w:ascii="Arial" w:hAnsi="Arial"/>
                <w:sz w:val="16"/>
              </w:rPr>
              <w:t>4</w:t>
            </w:r>
          </w:p>
        </w:tc>
        <w:tc>
          <w:tcPr>
            <w:tcW w:type="dxa" w:w="1242"/>
            <w:vAlign w:val="center"/>
          </w:tcPr>
          <w:p>
            <w:r>
              <w:rPr>
                <w:rFonts w:ascii="Arial" w:hAnsi="Arial"/>
                <w:sz w:val="16"/>
              </w:rPr>
              <w:t>5</w:t>
            </w:r>
          </w:p>
        </w:tc>
        <w:tc>
          <w:tcPr>
            <w:tcW w:type="dxa" w:w="1242"/>
            <w:vAlign w:val="center"/>
          </w:tcPr>
          <w:p>
            <w:r>
              <w:rPr>
                <w:rFonts w:ascii="Arial" w:hAnsi="Arial"/>
                <w:sz w:val="16"/>
              </w:rPr>
              <w:t>20</w:t>
            </w:r>
          </w:p>
        </w:tc>
        <w:tc>
          <w:tcPr>
            <w:tcW w:type="dxa" w:w="1242"/>
            <w:vAlign w:val="center"/>
          </w:tcPr>
          <w:p>
            <w:r>
              <w:rPr>
                <w:rFonts w:ascii="Arial" w:hAnsi="Arial"/>
                <w:sz w:val="16"/>
              </w:rPr>
              <w:t>Critical</w:t>
            </w:r>
          </w:p>
        </w:tc>
        <w:tc>
          <w:tcPr>
            <w:tcW w:type="dxa" w:w="1242"/>
            <w:vAlign w:val="center"/>
          </w:tcPr>
          <w:p>
            <w:r>
              <w:rPr>
                <w:rFonts w:ascii="Arial" w:hAnsi="Arial"/>
                <w:sz w:val="16"/>
              </w:rPr>
              <w:t>Citizen and administrative data</w:t>
            </w:r>
          </w:p>
        </w:tc>
        <w:tc>
          <w:tcPr>
            <w:tcW w:type="dxa" w:w="1242"/>
            <w:vAlign w:val="center"/>
          </w:tcPr>
          <w:p>
            <w:r>
              <w:rPr>
                <w:rFonts w:ascii="Arial" w:hAnsi="Arial"/>
                <w:sz w:val="16"/>
              </w:rPr>
              <w:t>Privacy harm; legal/reputation impact</w:t>
            </w:r>
          </w:p>
        </w:tc>
        <w:tc>
          <w:tcPr>
            <w:tcW w:type="dxa" w:w="1242"/>
            <w:vAlign w:val="center"/>
          </w:tcPr>
          <w:p>
            <w:r>
              <w:rPr>
                <w:rFonts w:ascii="Arial" w:hAnsi="Arial"/>
                <w:sz w:val="16"/>
              </w:rPr>
              <w:t>Access control + encryption + monitoring</w:t>
            </w:r>
          </w:p>
        </w:tc>
      </w:tr>
      <w:tr>
        <w:tc>
          <w:tcPr>
            <w:tcW w:type="dxa" w:w="1242"/>
            <w:vAlign w:val="center"/>
          </w:tcPr>
          <w:p>
            <w:r>
              <w:rPr>
                <w:rFonts w:ascii="Arial" w:hAnsi="Arial"/>
                <w:sz w:val="16"/>
              </w:rPr>
              <w:t>Ransomware</w:t>
            </w:r>
          </w:p>
        </w:tc>
        <w:tc>
          <w:tcPr>
            <w:tcW w:type="dxa" w:w="1242"/>
            <w:vAlign w:val="center"/>
          </w:tcPr>
          <w:p>
            <w:r>
              <w:rPr>
                <w:rFonts w:ascii="Arial" w:hAnsi="Arial"/>
                <w:sz w:val="16"/>
              </w:rPr>
              <w:t>4</w:t>
            </w:r>
          </w:p>
        </w:tc>
        <w:tc>
          <w:tcPr>
            <w:tcW w:type="dxa" w:w="1242"/>
            <w:vAlign w:val="center"/>
          </w:tcPr>
          <w:p>
            <w:r>
              <w:rPr>
                <w:rFonts w:ascii="Arial" w:hAnsi="Arial"/>
                <w:sz w:val="16"/>
              </w:rPr>
              <w:t>5</w:t>
            </w:r>
          </w:p>
        </w:tc>
        <w:tc>
          <w:tcPr>
            <w:tcW w:type="dxa" w:w="1242"/>
            <w:vAlign w:val="center"/>
          </w:tcPr>
          <w:p>
            <w:r>
              <w:rPr>
                <w:rFonts w:ascii="Arial" w:hAnsi="Arial"/>
                <w:sz w:val="16"/>
              </w:rPr>
              <w:t>20</w:t>
            </w:r>
          </w:p>
        </w:tc>
        <w:tc>
          <w:tcPr>
            <w:tcW w:type="dxa" w:w="1242"/>
            <w:vAlign w:val="center"/>
          </w:tcPr>
          <w:p>
            <w:r>
              <w:rPr>
                <w:rFonts w:ascii="Arial" w:hAnsi="Arial"/>
                <w:sz w:val="16"/>
              </w:rPr>
              <w:t>Critical</w:t>
            </w:r>
          </w:p>
        </w:tc>
        <w:tc>
          <w:tcPr>
            <w:tcW w:type="dxa" w:w="1242"/>
            <w:vAlign w:val="center"/>
          </w:tcPr>
          <w:p>
            <w:r>
              <w:rPr>
                <w:rFonts w:ascii="Arial" w:hAnsi="Arial"/>
                <w:sz w:val="16"/>
              </w:rPr>
              <w:t>Servers, endpoints, databases</w:t>
            </w:r>
          </w:p>
        </w:tc>
        <w:tc>
          <w:tcPr>
            <w:tcW w:type="dxa" w:w="1242"/>
            <w:vAlign w:val="center"/>
          </w:tcPr>
          <w:p>
            <w:r>
              <w:rPr>
                <w:rFonts w:ascii="Arial" w:hAnsi="Arial"/>
                <w:sz w:val="16"/>
              </w:rPr>
              <w:t>Service outage; data loss</w:t>
            </w:r>
          </w:p>
        </w:tc>
        <w:tc>
          <w:tcPr>
            <w:tcW w:type="dxa" w:w="1242"/>
            <w:vAlign w:val="center"/>
          </w:tcPr>
          <w:p>
            <w:r>
              <w:rPr>
                <w:rFonts w:ascii="Arial" w:hAnsi="Arial"/>
                <w:sz w:val="16"/>
              </w:rPr>
              <w:t>Backups + segmentation + EDR + IR</w:t>
            </w:r>
          </w:p>
        </w:tc>
      </w:tr>
      <w:tr>
        <w:tc>
          <w:tcPr>
            <w:tcW w:type="dxa" w:w="1242"/>
            <w:vAlign w:val="center"/>
          </w:tcPr>
          <w:p>
            <w:r>
              <w:rPr>
                <w:rFonts w:ascii="Arial" w:hAnsi="Arial"/>
                <w:sz w:val="16"/>
              </w:rPr>
              <w:t>Web/API vulnerabilities</w:t>
            </w:r>
          </w:p>
        </w:tc>
        <w:tc>
          <w:tcPr>
            <w:tcW w:type="dxa" w:w="1242"/>
            <w:vAlign w:val="center"/>
          </w:tcPr>
          <w:p>
            <w:r>
              <w:rPr>
                <w:rFonts w:ascii="Arial" w:hAnsi="Arial"/>
                <w:sz w:val="16"/>
              </w:rPr>
              <w:t>4</w:t>
            </w:r>
          </w:p>
        </w:tc>
        <w:tc>
          <w:tcPr>
            <w:tcW w:type="dxa" w:w="1242"/>
            <w:vAlign w:val="center"/>
          </w:tcPr>
          <w:p>
            <w:r>
              <w:rPr>
                <w:rFonts w:ascii="Arial" w:hAnsi="Arial"/>
                <w:sz w:val="16"/>
              </w:rPr>
              <w:t>5</w:t>
            </w:r>
          </w:p>
        </w:tc>
        <w:tc>
          <w:tcPr>
            <w:tcW w:type="dxa" w:w="1242"/>
            <w:vAlign w:val="center"/>
          </w:tcPr>
          <w:p>
            <w:r>
              <w:rPr>
                <w:rFonts w:ascii="Arial" w:hAnsi="Arial"/>
                <w:sz w:val="16"/>
              </w:rPr>
              <w:t>20</w:t>
            </w:r>
          </w:p>
        </w:tc>
        <w:tc>
          <w:tcPr>
            <w:tcW w:type="dxa" w:w="1242"/>
            <w:vAlign w:val="center"/>
          </w:tcPr>
          <w:p>
            <w:r>
              <w:rPr>
                <w:rFonts w:ascii="Arial" w:hAnsi="Arial"/>
                <w:sz w:val="16"/>
              </w:rPr>
              <w:t>Critical</w:t>
            </w:r>
          </w:p>
        </w:tc>
        <w:tc>
          <w:tcPr>
            <w:tcW w:type="dxa" w:w="1242"/>
            <w:vAlign w:val="center"/>
          </w:tcPr>
          <w:p>
            <w:r>
              <w:rPr>
                <w:rFonts w:ascii="Arial" w:hAnsi="Arial"/>
                <w:sz w:val="16"/>
              </w:rPr>
              <w:t>Applications &amp; APIs</w:t>
            </w:r>
          </w:p>
        </w:tc>
        <w:tc>
          <w:tcPr>
            <w:tcW w:type="dxa" w:w="1242"/>
            <w:vAlign w:val="center"/>
          </w:tcPr>
          <w:p>
            <w:r>
              <w:rPr>
                <w:rFonts w:ascii="Arial" w:hAnsi="Arial"/>
                <w:sz w:val="16"/>
              </w:rPr>
              <w:t>Unauthorized access or manipulation</w:t>
            </w:r>
          </w:p>
        </w:tc>
        <w:tc>
          <w:tcPr>
            <w:tcW w:type="dxa" w:w="1242"/>
            <w:vAlign w:val="center"/>
          </w:tcPr>
          <w:p>
            <w:r>
              <w:rPr>
                <w:rFonts w:ascii="Arial" w:hAnsi="Arial"/>
                <w:sz w:val="16"/>
              </w:rPr>
              <w:t>Secure SDLC + API security testing</w:t>
            </w:r>
          </w:p>
        </w:tc>
      </w:tr>
      <w:tr>
        <w:tc>
          <w:tcPr>
            <w:tcW w:type="dxa" w:w="1242"/>
            <w:vAlign w:val="center"/>
          </w:tcPr>
          <w:p>
            <w:r>
              <w:rPr>
                <w:rFonts w:ascii="Arial" w:hAnsi="Arial"/>
                <w:sz w:val="16"/>
              </w:rPr>
              <w:t>DDoS / resource exhaustion</w:t>
            </w:r>
          </w:p>
        </w:tc>
        <w:tc>
          <w:tcPr>
            <w:tcW w:type="dxa" w:w="1242"/>
            <w:vAlign w:val="center"/>
          </w:tcPr>
          <w:p>
            <w:r>
              <w:rPr>
                <w:rFonts w:ascii="Arial" w:hAnsi="Arial"/>
                <w:sz w:val="16"/>
              </w:rPr>
              <w:t>4</w:t>
            </w:r>
          </w:p>
        </w:tc>
        <w:tc>
          <w:tcPr>
            <w:tcW w:type="dxa" w:w="1242"/>
            <w:vAlign w:val="center"/>
          </w:tcPr>
          <w:p>
            <w:r>
              <w:rPr>
                <w:rFonts w:ascii="Arial" w:hAnsi="Arial"/>
                <w:sz w:val="16"/>
              </w:rPr>
              <w:t>4</w:t>
            </w:r>
          </w:p>
        </w:tc>
        <w:tc>
          <w:tcPr>
            <w:tcW w:type="dxa" w:w="1242"/>
            <w:vAlign w:val="center"/>
          </w:tcPr>
          <w:p>
            <w:r>
              <w:rPr>
                <w:rFonts w:ascii="Arial" w:hAnsi="Arial"/>
                <w:sz w:val="16"/>
              </w:rPr>
              <w:t>16</w:t>
            </w:r>
          </w:p>
        </w:tc>
        <w:tc>
          <w:tcPr>
            <w:tcW w:type="dxa" w:w="1242"/>
            <w:vAlign w:val="center"/>
          </w:tcPr>
          <w:p>
            <w:r>
              <w:rPr>
                <w:rFonts w:ascii="Arial" w:hAnsi="Arial"/>
                <w:sz w:val="16"/>
              </w:rPr>
              <w:t>High</w:t>
            </w:r>
          </w:p>
        </w:tc>
        <w:tc>
          <w:tcPr>
            <w:tcW w:type="dxa" w:w="1242"/>
            <w:vAlign w:val="center"/>
          </w:tcPr>
          <w:p>
            <w:r>
              <w:rPr>
                <w:rFonts w:ascii="Arial" w:hAnsi="Arial"/>
                <w:sz w:val="16"/>
              </w:rPr>
              <w:t>Public portals &amp; APIs</w:t>
            </w:r>
          </w:p>
        </w:tc>
        <w:tc>
          <w:tcPr>
            <w:tcW w:type="dxa" w:w="1242"/>
            <w:vAlign w:val="center"/>
          </w:tcPr>
          <w:p>
            <w:r>
              <w:rPr>
                <w:rFonts w:ascii="Arial" w:hAnsi="Arial"/>
                <w:sz w:val="16"/>
              </w:rPr>
              <w:t>Service unavailability</w:t>
            </w:r>
          </w:p>
        </w:tc>
        <w:tc>
          <w:tcPr>
            <w:tcW w:type="dxa" w:w="1242"/>
            <w:vAlign w:val="center"/>
          </w:tcPr>
          <w:p>
            <w:r>
              <w:rPr>
                <w:rFonts w:ascii="Arial" w:hAnsi="Arial"/>
                <w:sz w:val="16"/>
              </w:rPr>
              <w:t>DDoS protection + rate limiting</w:t>
            </w:r>
          </w:p>
        </w:tc>
      </w:tr>
      <w:tr>
        <w:tc>
          <w:tcPr>
            <w:tcW w:type="dxa" w:w="1242"/>
            <w:vAlign w:val="center"/>
          </w:tcPr>
          <w:p>
            <w:r>
              <w:rPr>
                <w:rFonts w:ascii="Arial" w:hAnsi="Arial"/>
                <w:sz w:val="16"/>
              </w:rPr>
              <w:t>Security misconfiguration</w:t>
            </w:r>
          </w:p>
        </w:tc>
        <w:tc>
          <w:tcPr>
            <w:tcW w:type="dxa" w:w="1242"/>
            <w:vAlign w:val="center"/>
          </w:tcPr>
          <w:p>
            <w:r>
              <w:rPr>
                <w:rFonts w:ascii="Arial" w:hAnsi="Arial"/>
                <w:sz w:val="16"/>
              </w:rPr>
              <w:t>4</w:t>
            </w:r>
          </w:p>
        </w:tc>
        <w:tc>
          <w:tcPr>
            <w:tcW w:type="dxa" w:w="1242"/>
            <w:vAlign w:val="center"/>
          </w:tcPr>
          <w:p>
            <w:r>
              <w:rPr>
                <w:rFonts w:ascii="Arial" w:hAnsi="Arial"/>
                <w:sz w:val="16"/>
              </w:rPr>
              <w:t>4</w:t>
            </w:r>
          </w:p>
        </w:tc>
        <w:tc>
          <w:tcPr>
            <w:tcW w:type="dxa" w:w="1242"/>
            <w:vAlign w:val="center"/>
          </w:tcPr>
          <w:p>
            <w:r>
              <w:rPr>
                <w:rFonts w:ascii="Arial" w:hAnsi="Arial"/>
                <w:sz w:val="16"/>
              </w:rPr>
              <w:t>16</w:t>
            </w:r>
          </w:p>
        </w:tc>
        <w:tc>
          <w:tcPr>
            <w:tcW w:type="dxa" w:w="1242"/>
            <w:vAlign w:val="center"/>
          </w:tcPr>
          <w:p>
            <w:r>
              <w:rPr>
                <w:rFonts w:ascii="Arial" w:hAnsi="Arial"/>
                <w:sz w:val="16"/>
              </w:rPr>
              <w:t>High</w:t>
            </w:r>
          </w:p>
        </w:tc>
        <w:tc>
          <w:tcPr>
            <w:tcW w:type="dxa" w:w="1242"/>
            <w:vAlign w:val="center"/>
          </w:tcPr>
          <w:p>
            <w:r>
              <w:rPr>
                <w:rFonts w:ascii="Arial" w:hAnsi="Arial"/>
                <w:sz w:val="16"/>
              </w:rPr>
              <w:t>Cloud/server/network</w:t>
            </w:r>
          </w:p>
        </w:tc>
        <w:tc>
          <w:tcPr>
            <w:tcW w:type="dxa" w:w="1242"/>
            <w:vAlign w:val="center"/>
          </w:tcPr>
          <w:p>
            <w:r>
              <w:rPr>
                <w:rFonts w:ascii="Arial" w:hAnsi="Arial"/>
                <w:sz w:val="16"/>
              </w:rPr>
              <w:t>Exposure; compromise</w:t>
            </w:r>
          </w:p>
        </w:tc>
        <w:tc>
          <w:tcPr>
            <w:tcW w:type="dxa" w:w="1242"/>
            <w:vAlign w:val="center"/>
          </w:tcPr>
          <w:p>
            <w:r>
              <w:rPr>
                <w:rFonts w:ascii="Arial" w:hAnsi="Arial"/>
                <w:sz w:val="16"/>
              </w:rPr>
              <w:t>Secure baselines + continuous scanning</w:t>
            </w:r>
          </w:p>
        </w:tc>
      </w:tr>
      <w:tr>
        <w:tc>
          <w:tcPr>
            <w:tcW w:type="dxa" w:w="1242"/>
            <w:vAlign w:val="center"/>
          </w:tcPr>
          <w:p>
            <w:r>
              <w:rPr>
                <w:rFonts w:ascii="Arial" w:hAnsi="Arial"/>
                <w:sz w:val="16"/>
              </w:rPr>
              <w:t>Third-party compromise</w:t>
            </w:r>
          </w:p>
        </w:tc>
        <w:tc>
          <w:tcPr>
            <w:tcW w:type="dxa" w:w="1242"/>
            <w:vAlign w:val="center"/>
          </w:tcPr>
          <w:p>
            <w:r>
              <w:rPr>
                <w:rFonts w:ascii="Arial" w:hAnsi="Arial"/>
                <w:sz w:val="16"/>
              </w:rPr>
              <w:t>3</w:t>
            </w:r>
          </w:p>
        </w:tc>
        <w:tc>
          <w:tcPr>
            <w:tcW w:type="dxa" w:w="1242"/>
            <w:vAlign w:val="center"/>
          </w:tcPr>
          <w:p>
            <w:r>
              <w:rPr>
                <w:rFonts w:ascii="Arial" w:hAnsi="Arial"/>
                <w:sz w:val="16"/>
              </w:rPr>
              <w:t>5</w:t>
            </w:r>
          </w:p>
        </w:tc>
        <w:tc>
          <w:tcPr>
            <w:tcW w:type="dxa" w:w="1242"/>
            <w:vAlign w:val="center"/>
          </w:tcPr>
          <w:p>
            <w:r>
              <w:rPr>
                <w:rFonts w:ascii="Arial" w:hAnsi="Arial"/>
                <w:sz w:val="16"/>
              </w:rPr>
              <w:t>15</w:t>
            </w:r>
          </w:p>
        </w:tc>
        <w:tc>
          <w:tcPr>
            <w:tcW w:type="dxa" w:w="1242"/>
            <w:vAlign w:val="center"/>
          </w:tcPr>
          <w:p>
            <w:r>
              <w:rPr>
                <w:rFonts w:ascii="Arial" w:hAnsi="Arial"/>
                <w:sz w:val="16"/>
              </w:rPr>
              <w:t>High</w:t>
            </w:r>
          </w:p>
        </w:tc>
        <w:tc>
          <w:tcPr>
            <w:tcW w:type="dxa" w:w="1242"/>
            <w:vAlign w:val="center"/>
          </w:tcPr>
          <w:p>
            <w:r>
              <w:rPr>
                <w:rFonts w:ascii="Arial" w:hAnsi="Arial"/>
                <w:sz w:val="16"/>
              </w:rPr>
              <w:t>Integrations/vendors</w:t>
            </w:r>
          </w:p>
        </w:tc>
        <w:tc>
          <w:tcPr>
            <w:tcW w:type="dxa" w:w="1242"/>
            <w:vAlign w:val="center"/>
          </w:tcPr>
          <w:p>
            <w:r>
              <w:rPr>
                <w:rFonts w:ascii="Arial" w:hAnsi="Arial"/>
                <w:sz w:val="16"/>
              </w:rPr>
              <w:t>Supply-chain intrusion; outage</w:t>
            </w:r>
          </w:p>
        </w:tc>
        <w:tc>
          <w:tcPr>
            <w:tcW w:type="dxa" w:w="1242"/>
            <w:vAlign w:val="center"/>
          </w:tcPr>
          <w:p>
            <w:r>
              <w:rPr>
                <w:rFonts w:ascii="Arial" w:hAnsi="Arial"/>
                <w:sz w:val="16"/>
              </w:rPr>
              <w:t>Vendor controls + monitoring</w:t>
            </w:r>
          </w:p>
        </w:tc>
      </w:tr>
      <w:tr>
        <w:tc>
          <w:tcPr>
            <w:tcW w:type="dxa" w:w="1242"/>
            <w:vAlign w:val="center"/>
          </w:tcPr>
          <w:p>
            <w:r>
              <w:rPr>
                <w:rFonts w:ascii="Arial" w:hAnsi="Arial"/>
                <w:sz w:val="16"/>
              </w:rPr>
              <w:t>Insider misuse</w:t>
            </w:r>
          </w:p>
        </w:tc>
        <w:tc>
          <w:tcPr>
            <w:tcW w:type="dxa" w:w="1242"/>
            <w:vAlign w:val="center"/>
          </w:tcPr>
          <w:p>
            <w:r>
              <w:rPr>
                <w:rFonts w:ascii="Arial" w:hAnsi="Arial"/>
                <w:sz w:val="16"/>
              </w:rPr>
              <w:t>3</w:t>
            </w:r>
          </w:p>
        </w:tc>
        <w:tc>
          <w:tcPr>
            <w:tcW w:type="dxa" w:w="1242"/>
            <w:vAlign w:val="center"/>
          </w:tcPr>
          <w:p>
            <w:r>
              <w:rPr>
                <w:rFonts w:ascii="Arial" w:hAnsi="Arial"/>
                <w:sz w:val="16"/>
              </w:rPr>
              <w:t>4</w:t>
            </w:r>
          </w:p>
        </w:tc>
        <w:tc>
          <w:tcPr>
            <w:tcW w:type="dxa" w:w="1242"/>
            <w:vAlign w:val="center"/>
          </w:tcPr>
          <w:p>
            <w:r>
              <w:rPr>
                <w:rFonts w:ascii="Arial" w:hAnsi="Arial"/>
                <w:sz w:val="16"/>
              </w:rPr>
              <w:t>12</w:t>
            </w:r>
          </w:p>
        </w:tc>
        <w:tc>
          <w:tcPr>
            <w:tcW w:type="dxa" w:w="1242"/>
            <w:vAlign w:val="center"/>
          </w:tcPr>
          <w:p>
            <w:r>
              <w:rPr>
                <w:rFonts w:ascii="Arial" w:hAnsi="Arial"/>
                <w:sz w:val="16"/>
              </w:rPr>
              <w:t>High</w:t>
            </w:r>
          </w:p>
        </w:tc>
        <w:tc>
          <w:tcPr>
            <w:tcW w:type="dxa" w:w="1242"/>
            <w:vAlign w:val="center"/>
          </w:tcPr>
          <w:p>
            <w:r>
              <w:rPr>
                <w:rFonts w:ascii="Arial" w:hAnsi="Arial"/>
                <w:sz w:val="16"/>
              </w:rPr>
              <w:t>Data/admin systems</w:t>
            </w:r>
          </w:p>
        </w:tc>
        <w:tc>
          <w:tcPr>
            <w:tcW w:type="dxa" w:w="1242"/>
            <w:vAlign w:val="center"/>
          </w:tcPr>
          <w:p>
            <w:r>
              <w:rPr>
                <w:rFonts w:ascii="Arial" w:hAnsi="Arial"/>
                <w:sz w:val="16"/>
              </w:rPr>
              <w:t>Unauthorized modification/disclosure</w:t>
            </w:r>
          </w:p>
        </w:tc>
        <w:tc>
          <w:tcPr>
            <w:tcW w:type="dxa" w:w="1242"/>
            <w:vAlign w:val="center"/>
          </w:tcPr>
          <w:p>
            <w:r>
              <w:rPr>
                <w:rFonts w:ascii="Arial" w:hAnsi="Arial"/>
                <w:sz w:val="16"/>
              </w:rPr>
              <w:t>Least privilege + audit logs</w:t>
            </w:r>
          </w:p>
        </w:tc>
      </w:tr>
      <w:tr>
        <w:tc>
          <w:tcPr>
            <w:tcW w:type="dxa" w:w="1242"/>
            <w:vAlign w:val="center"/>
          </w:tcPr>
          <w:p>
            <w:r>
              <w:rPr>
                <w:rFonts w:ascii="Arial" w:hAnsi="Arial"/>
                <w:sz w:val="16"/>
              </w:rPr>
              <w:t>Unpatched critical software</w:t>
            </w:r>
          </w:p>
        </w:tc>
        <w:tc>
          <w:tcPr>
            <w:tcW w:type="dxa" w:w="1242"/>
            <w:vAlign w:val="center"/>
          </w:tcPr>
          <w:p>
            <w:r>
              <w:rPr>
                <w:rFonts w:ascii="Arial" w:hAnsi="Arial"/>
                <w:sz w:val="16"/>
              </w:rPr>
              <w:t>3</w:t>
            </w:r>
          </w:p>
        </w:tc>
        <w:tc>
          <w:tcPr>
            <w:tcW w:type="dxa" w:w="1242"/>
            <w:vAlign w:val="center"/>
          </w:tcPr>
          <w:p>
            <w:r>
              <w:rPr>
                <w:rFonts w:ascii="Arial" w:hAnsi="Arial"/>
                <w:sz w:val="16"/>
              </w:rPr>
              <w:t>5</w:t>
            </w:r>
          </w:p>
        </w:tc>
        <w:tc>
          <w:tcPr>
            <w:tcW w:type="dxa" w:w="1242"/>
            <w:vAlign w:val="center"/>
          </w:tcPr>
          <w:p>
            <w:r>
              <w:rPr>
                <w:rFonts w:ascii="Arial" w:hAnsi="Arial"/>
                <w:sz w:val="16"/>
              </w:rPr>
              <w:t>15</w:t>
            </w:r>
          </w:p>
        </w:tc>
        <w:tc>
          <w:tcPr>
            <w:tcW w:type="dxa" w:w="1242"/>
            <w:vAlign w:val="center"/>
          </w:tcPr>
          <w:p>
            <w:r>
              <w:rPr>
                <w:rFonts w:ascii="Arial" w:hAnsi="Arial"/>
                <w:sz w:val="16"/>
              </w:rPr>
              <w:t>High</w:t>
            </w:r>
          </w:p>
        </w:tc>
        <w:tc>
          <w:tcPr>
            <w:tcW w:type="dxa" w:w="1242"/>
            <w:vAlign w:val="center"/>
          </w:tcPr>
          <w:p>
            <w:r>
              <w:rPr>
                <w:rFonts w:ascii="Arial" w:hAnsi="Arial"/>
                <w:sz w:val="16"/>
              </w:rPr>
              <w:t>Servers/endpoints</w:t>
            </w:r>
          </w:p>
        </w:tc>
        <w:tc>
          <w:tcPr>
            <w:tcW w:type="dxa" w:w="1242"/>
            <w:vAlign w:val="center"/>
          </w:tcPr>
          <w:p>
            <w:r>
              <w:rPr>
                <w:rFonts w:ascii="Arial" w:hAnsi="Arial"/>
                <w:sz w:val="16"/>
              </w:rPr>
              <w:t>Remote compromise</w:t>
            </w:r>
          </w:p>
        </w:tc>
        <w:tc>
          <w:tcPr>
            <w:tcW w:type="dxa" w:w="1242"/>
            <w:vAlign w:val="center"/>
          </w:tcPr>
          <w:p>
            <w:r>
              <w:rPr>
                <w:rFonts w:ascii="Arial" w:hAnsi="Arial"/>
                <w:sz w:val="16"/>
              </w:rPr>
              <w:t>Risk-based patching</w:t>
            </w:r>
          </w:p>
        </w:tc>
      </w:tr>
      <w:tr>
        <w:tc>
          <w:tcPr>
            <w:tcW w:type="dxa" w:w="1242"/>
            <w:vAlign w:val="center"/>
          </w:tcPr>
          <w:p>
            <w:r>
              <w:rPr>
                <w:rFonts w:ascii="Arial" w:hAnsi="Arial"/>
                <w:sz w:val="16"/>
              </w:rPr>
              <w:t>Website defacement</w:t>
            </w:r>
          </w:p>
        </w:tc>
        <w:tc>
          <w:tcPr>
            <w:tcW w:type="dxa" w:w="1242"/>
            <w:vAlign w:val="center"/>
          </w:tcPr>
          <w:p>
            <w:r>
              <w:rPr>
                <w:rFonts w:ascii="Arial" w:hAnsi="Arial"/>
                <w:sz w:val="16"/>
              </w:rPr>
              <w:t>3</w:t>
            </w:r>
          </w:p>
        </w:tc>
        <w:tc>
          <w:tcPr>
            <w:tcW w:type="dxa" w:w="1242"/>
            <w:vAlign w:val="center"/>
          </w:tcPr>
          <w:p>
            <w:r>
              <w:rPr>
                <w:rFonts w:ascii="Arial" w:hAnsi="Arial"/>
                <w:sz w:val="16"/>
              </w:rPr>
              <w:t>3</w:t>
            </w:r>
          </w:p>
        </w:tc>
        <w:tc>
          <w:tcPr>
            <w:tcW w:type="dxa" w:w="1242"/>
            <w:vAlign w:val="center"/>
          </w:tcPr>
          <w:p>
            <w:r>
              <w:rPr>
                <w:rFonts w:ascii="Arial" w:hAnsi="Arial"/>
                <w:sz w:val="16"/>
              </w:rPr>
              <w:t>9</w:t>
            </w:r>
          </w:p>
        </w:tc>
        <w:tc>
          <w:tcPr>
            <w:tcW w:type="dxa" w:w="1242"/>
            <w:vAlign w:val="center"/>
          </w:tcPr>
          <w:p>
            <w:r>
              <w:rPr>
                <w:rFonts w:ascii="Arial" w:hAnsi="Arial"/>
                <w:sz w:val="16"/>
              </w:rPr>
              <w:t>Moderate</w:t>
            </w:r>
          </w:p>
        </w:tc>
        <w:tc>
          <w:tcPr>
            <w:tcW w:type="dxa" w:w="1242"/>
            <w:vAlign w:val="center"/>
          </w:tcPr>
          <w:p>
            <w:r>
              <w:rPr>
                <w:rFonts w:ascii="Arial" w:hAnsi="Arial"/>
                <w:sz w:val="16"/>
              </w:rPr>
              <w:t>Public websites</w:t>
            </w:r>
          </w:p>
        </w:tc>
        <w:tc>
          <w:tcPr>
            <w:tcW w:type="dxa" w:w="1242"/>
            <w:vAlign w:val="center"/>
          </w:tcPr>
          <w:p>
            <w:r>
              <w:rPr>
                <w:rFonts w:ascii="Arial" w:hAnsi="Arial"/>
                <w:sz w:val="16"/>
              </w:rPr>
              <w:t>Loss of trust; misinformation</w:t>
            </w:r>
          </w:p>
        </w:tc>
        <w:tc>
          <w:tcPr>
            <w:tcW w:type="dxa" w:w="1242"/>
            <w:vAlign w:val="center"/>
          </w:tcPr>
          <w:p>
            <w:r>
              <w:rPr>
                <w:rFonts w:ascii="Arial" w:hAnsi="Arial"/>
                <w:sz w:val="16"/>
              </w:rPr>
              <w:t>Access control + WAF + monitoring</w:t>
            </w:r>
          </w:p>
        </w:tc>
      </w:tr>
    </w:tbl>
    <w:p>
      <w:pPr>
        <w:pStyle w:val="Heading2"/>
      </w:pPr>
      <w:r>
        <w:t>6.1 Risk Interpretation</w:t>
      </w:r>
    </w:p>
    <w:p>
      <w:r>
        <w:t>The matrix indicates that identity compromise, sensitive-data exposure, ransomware, and application/API weaknesses deserve immediate attention because they can combine high likelihood with severe impact. For example, a phishing attack may compromise an administrative account, after which an attacker could exploit weak authorization or move laterally into sensitive systems. This illustrates why isolated controls are insufficient.</w:t>
      </w:r>
    </w:p>
    <w:p>
      <w:r>
        <w:t>DDoS is rated high because public services are inherently exposed to internet traffic. The appropriate response is not simply to increase bandwidth; it should combine upstream filtering, rate limiting, resilient architecture, monitoring, and an incident escalation plan.</w:t>
      </w:r>
    </w:p>
    <w:p>
      <w:r>
        <w:t>Risk should be reassessed after controls are implemented. A mature risk process distinguishes inherent risk from residual risk: inherent risk is the exposure before controls, while residual risk is the remaining exposure after controls. This allows management to prioritize investments based on measurable changes in risk.</w:t>
      </w:r>
    </w:p>
    <w:p>
      <w:r>
        <w:br w:type="page"/>
      </w:r>
    </w:p>
    <w:p>
      <w:pPr>
        <w:pStyle w:val="Heading1"/>
      </w:pPr>
      <w:r>
        <w:t>7. Strategic Recommendations</w:t>
      </w:r>
    </w:p>
    <w:p>
      <w:pPr>
        <w:pStyle w:val="Heading2"/>
      </w:pPr>
      <w:r>
        <w:t>7.1 Identity and Access Management</w:t>
      </w:r>
    </w:p>
    <w:p>
      <w:pPr>
        <w:pStyle w:val="ListBullet"/>
        <w:spacing w:after="60"/>
      </w:pPr>
      <w:r>
        <w:t>Enforce multi-factor authentication for privileged, administrative, remote-access, and other high-risk accounts.</w:t>
      </w:r>
    </w:p>
    <w:p>
      <w:pPr>
        <w:pStyle w:val="ListBullet"/>
        <w:spacing w:after="60"/>
      </w:pPr>
      <w:r>
        <w:t>Use role-based access control and least privilege; review privileges periodically.</w:t>
      </w:r>
    </w:p>
    <w:p>
      <w:pPr>
        <w:pStyle w:val="ListBullet"/>
        <w:spacing w:after="60"/>
      </w:pPr>
      <w:r>
        <w:t>Implement strong session management, secure token handling, account lockout/risk-based controls, and privileged access management where appropriate.</w:t>
      </w:r>
    </w:p>
    <w:p>
      <w:pPr>
        <w:pStyle w:val="ListBullet"/>
        <w:spacing w:after="60"/>
      </w:pPr>
      <w:r>
        <w:t>Remove dormant accounts promptly and establish joiner-mover-leaver processes.</w:t>
      </w:r>
    </w:p>
    <w:p>
      <w:pPr>
        <w:pStyle w:val="Heading2"/>
      </w:pPr>
      <w:r>
        <w:t>7.2 Secure Application and API Development</w:t>
      </w:r>
    </w:p>
    <w:p>
      <w:pPr>
        <w:pStyle w:val="ListBullet"/>
        <w:spacing w:after="60"/>
      </w:pPr>
      <w:r>
        <w:t>Adopt a secure software development lifecycle with threat modeling, secure coding standards, peer review, dependency management, and security testing.</w:t>
      </w:r>
    </w:p>
    <w:p>
      <w:pPr>
        <w:pStyle w:val="ListBullet"/>
        <w:spacing w:after="60"/>
      </w:pPr>
      <w:r>
        <w:t>Perform authorization checks server-side for every sensitive object and function; never rely only on client-side restrictions.</w:t>
      </w:r>
    </w:p>
    <w:p>
      <w:pPr>
        <w:pStyle w:val="ListBullet"/>
        <w:spacing w:after="60"/>
      </w:pPr>
      <w:r>
        <w:t>Maintain an authoritative inventory of APIs, versions, owners, authentication methods, and data sensitivity.</w:t>
      </w:r>
    </w:p>
    <w:p>
      <w:pPr>
        <w:pStyle w:val="ListBullet"/>
        <w:spacing w:after="60"/>
      </w:pPr>
      <w:r>
        <w:t>Apply rate limiting, input validation, schema validation, secure error handling, and protection against resource exhaustion.</w:t>
      </w:r>
    </w:p>
    <w:p>
      <w:pPr>
        <w:pStyle w:val="ListBullet"/>
        <w:spacing w:after="60"/>
      </w:pPr>
      <w:r>
        <w:t>Test web applications and APIs before production and after major changes, using authorized security testing only.</w:t>
      </w:r>
    </w:p>
    <w:p>
      <w:pPr>
        <w:pStyle w:val="Heading2"/>
      </w:pPr>
      <w:r>
        <w:t>7.3 Vulnerability and Patch Management</w:t>
      </w:r>
    </w:p>
    <w:p>
      <w:pPr>
        <w:pStyle w:val="ListBullet"/>
        <w:spacing w:after="60"/>
      </w:pPr>
      <w:r>
        <w:t>Maintain an accurate inventory of hardware, software, cloud resources, applications, and internet-facing services.</w:t>
      </w:r>
    </w:p>
    <w:p>
      <w:pPr>
        <w:pStyle w:val="ListBullet"/>
        <w:spacing w:after="60"/>
      </w:pPr>
      <w:r>
        <w:t>Prioritize vulnerabilities using severity, exploitability, exposure, asset criticality, and available threat intelligence.</w:t>
      </w:r>
    </w:p>
    <w:p>
      <w:pPr>
        <w:pStyle w:val="ListBullet"/>
        <w:spacing w:after="60"/>
      </w:pPr>
      <w:r>
        <w:t>Define remediation timelines for critical and high-risk vulnerabilities and verify closure.</w:t>
      </w:r>
    </w:p>
    <w:p>
      <w:pPr>
        <w:pStyle w:val="ListBullet"/>
        <w:spacing w:after="60"/>
      </w:pPr>
      <w:r>
        <w:t>Replace unsupported software and establish exception processes when immediate patching is not possible.</w:t>
      </w:r>
    </w:p>
    <w:p>
      <w:pPr>
        <w:pStyle w:val="Heading2"/>
      </w:pPr>
      <w:r>
        <w:t>7.4 Data Protection</w:t>
      </w:r>
    </w:p>
    <w:p>
      <w:pPr>
        <w:pStyle w:val="ListBullet"/>
        <w:spacing w:after="60"/>
      </w:pPr>
      <w:r>
        <w:t>Collect and retain only data needed for legitimate service purposes.</w:t>
      </w:r>
    </w:p>
    <w:p>
      <w:pPr>
        <w:pStyle w:val="ListBullet"/>
        <w:spacing w:after="60"/>
      </w:pPr>
      <w:r>
        <w:t>Encrypt sensitive information in transit and at rest according to risk and system requirements.</w:t>
      </w:r>
    </w:p>
    <w:p>
      <w:pPr>
        <w:pStyle w:val="ListBullet"/>
        <w:spacing w:after="60"/>
      </w:pPr>
      <w:r>
        <w:t>Restrict database access and separate application, administrative, and service accounts.</w:t>
      </w:r>
    </w:p>
    <w:p>
      <w:pPr>
        <w:pStyle w:val="ListBullet"/>
        <w:spacing w:after="60"/>
      </w:pPr>
      <w:r>
        <w:t>Monitor access to sensitive records and investigate unusual access patterns.</w:t>
      </w:r>
    </w:p>
    <w:p>
      <w:pPr>
        <w:pStyle w:val="ListBullet"/>
        <w:spacing w:after="60"/>
      </w:pPr>
      <w:r>
        <w:t>Align data-handling practices with applicable Indian privacy and cybersecurity requirements.</w:t>
      </w:r>
    </w:p>
    <w:p>
      <w:pPr>
        <w:pStyle w:val="Heading2"/>
      </w:pPr>
      <w:r>
        <w:t>7.5 Backup and Recovery</w:t>
      </w:r>
    </w:p>
    <w:p>
      <w:pPr>
        <w:pStyle w:val="ListBullet"/>
        <w:spacing w:after="60"/>
      </w:pPr>
      <w:r>
        <w:t>Maintain protected backups that cannot be easily altered or encrypted by a compromised production account.</w:t>
      </w:r>
    </w:p>
    <w:p>
      <w:pPr>
        <w:pStyle w:val="ListBullet"/>
        <w:spacing w:after="60"/>
      </w:pPr>
      <w:r>
        <w:t>Keep multiple recovery points and periodically test restoration.</w:t>
      </w:r>
    </w:p>
    <w:p>
      <w:pPr>
        <w:pStyle w:val="ListBullet"/>
        <w:spacing w:after="60"/>
      </w:pPr>
      <w:r>
        <w:t>Document recovery priorities for critical citizen services.</w:t>
      </w:r>
    </w:p>
    <w:p>
      <w:pPr>
        <w:pStyle w:val="ListBullet"/>
        <w:spacing w:after="60"/>
      </w:pPr>
      <w:r>
        <w:t>Define recovery time and recovery point objectives appropriate to each service.</w:t>
      </w:r>
    </w:p>
    <w:p>
      <w:pPr>
        <w:pStyle w:val="Heading2"/>
      </w:pPr>
      <w:r>
        <w:t>7.6 Network and Infrastructure Security</w:t>
      </w:r>
    </w:p>
    <w:p>
      <w:pPr>
        <w:pStyle w:val="ListBullet"/>
        <w:spacing w:after="60"/>
      </w:pPr>
      <w:r>
        <w:t>Segment critical systems so that compromise of one component does not automatically provide access to others.</w:t>
      </w:r>
    </w:p>
    <w:p>
      <w:pPr>
        <w:pStyle w:val="ListBullet"/>
        <w:spacing w:after="60"/>
      </w:pPr>
      <w:r>
        <w:t>Use secure configuration baselines for operating systems, databases, cloud services, network devices, and applications.</w:t>
      </w:r>
    </w:p>
    <w:p>
      <w:pPr>
        <w:pStyle w:val="ListBullet"/>
        <w:spacing w:after="60"/>
      </w:pPr>
      <w:r>
        <w:t>Deploy web application and API protection where appropriate.</w:t>
      </w:r>
    </w:p>
    <w:p>
      <w:pPr>
        <w:pStyle w:val="ListBullet"/>
        <w:spacing w:after="60"/>
      </w:pPr>
      <w:r>
        <w:t>Use DDoS protection and resilient traffic architecture for high-value public services.</w:t>
      </w:r>
    </w:p>
    <w:p>
      <w:pPr>
        <w:pStyle w:val="Heading2"/>
      </w:pPr>
      <w:r>
        <w:t>7.7 Monitoring and Incident Detection</w:t>
      </w:r>
    </w:p>
    <w:p>
      <w:pPr>
        <w:pStyle w:val="ListBullet"/>
        <w:spacing w:after="60"/>
      </w:pPr>
      <w:r>
        <w:t>Centralize security-relevant logs and synchronize system time.</w:t>
      </w:r>
    </w:p>
    <w:p>
      <w:pPr>
        <w:pStyle w:val="ListBullet"/>
        <w:spacing w:after="60"/>
      </w:pPr>
      <w:r>
        <w:t>Monitor authentication anomalies, privilege changes, unusual data access, configuration changes, malware alerts, and network anomalies.</w:t>
      </w:r>
    </w:p>
    <w:p>
      <w:pPr>
        <w:pStyle w:val="ListBullet"/>
        <w:spacing w:after="60"/>
      </w:pPr>
      <w:r>
        <w:t>Use defined alert severity levels and escalation procedures.</w:t>
      </w:r>
    </w:p>
    <w:p>
      <w:pPr>
        <w:pStyle w:val="ListBullet"/>
        <w:spacing w:after="60"/>
      </w:pPr>
      <w:r>
        <w:t>Retain logs long enough to support investigation, legal requirements, and operational needs.</w:t>
      </w:r>
    </w:p>
    <w:p>
      <w:pPr>
        <w:pStyle w:val="Heading2"/>
      </w:pPr>
      <w:r>
        <w:t>7.8 Human Awareness</w:t>
      </w:r>
    </w:p>
    <w:p>
      <w:pPr>
        <w:pStyle w:val="ListBullet"/>
        <w:spacing w:after="60"/>
      </w:pPr>
      <w:r>
        <w:t>Conduct recurring awareness training focused on phishing, social engineering, credential protection, and incident reporting.</w:t>
      </w:r>
    </w:p>
    <w:p>
      <w:pPr>
        <w:pStyle w:val="ListBullet"/>
        <w:spacing w:after="60"/>
      </w:pPr>
      <w:r>
        <w:t>Use simulated exercises to measure improvement rather than relying only on one-time training.</w:t>
      </w:r>
    </w:p>
    <w:p>
      <w:pPr>
        <w:pStyle w:val="ListBullet"/>
        <w:spacing w:after="60"/>
      </w:pPr>
      <w:r>
        <w:t>Create a simple mechanism for staff to report suspicious messages or activity quickly.</w:t>
      </w:r>
    </w:p>
    <w:p>
      <w:r>
        <w:br w:type="page"/>
      </w:r>
    </w:p>
    <w:p>
      <w:pPr>
        <w:pStyle w:val="Heading1"/>
      </w:pPr>
      <w:r>
        <w:t>8. Incident Response and Security Improvement Roadmap</w:t>
      </w:r>
    </w:p>
    <w:p>
      <w:r>
        <w:t>A strong preventive program must be supported by an effective response capability. When a cyber incident occurs, the organization needs to identify the affected assets, contain the event, preserve evidence, restore services safely, and communicate with the appropriate stakeholders. CERT-In’s guidance also emphasizes incident response planning, monitoring, backups, authentication, patching, and employee awareness.</w:t>
      </w:r>
    </w:p>
    <w:p>
      <w:pPr>
        <w:pStyle w:val="Heading2"/>
      </w:pPr>
      <w:r>
        <w:t>8.1 Recommended Incident Response Lifecycle</w:t>
      </w:r>
    </w:p>
    <w:p>
      <w:pPr>
        <w:pStyle w:val="ListNumber"/>
        <w:spacing w:after="60"/>
      </w:pPr>
      <w:r>
        <w:t>Preparation – maintain contact lists, asset information, logging, backups, response procedures, and exercises.</w:t>
      </w:r>
    </w:p>
    <w:p>
      <w:pPr>
        <w:pStyle w:val="ListNumber"/>
        <w:spacing w:after="60"/>
      </w:pPr>
      <w:r>
        <w:t>Detection and Analysis – validate alerts, identify affected systems, determine scope, and assess potential data or service impact.</w:t>
      </w:r>
    </w:p>
    <w:p>
      <w:pPr>
        <w:pStyle w:val="ListNumber"/>
        <w:spacing w:after="60"/>
      </w:pPr>
      <w:r>
        <w:t>Containment – limit attacker access and prevent further spread while preserving evidence and service continuity where possible.</w:t>
      </w:r>
    </w:p>
    <w:p>
      <w:pPr>
        <w:pStyle w:val="ListNumber"/>
        <w:spacing w:after="60"/>
      </w:pPr>
      <w:r>
        <w:t>Eradication – remove malicious persistence, reset compromised credentials, patch exploited weaknesses, and eliminate the root cause.</w:t>
      </w:r>
    </w:p>
    <w:p>
      <w:pPr>
        <w:pStyle w:val="ListNumber"/>
        <w:spacing w:after="60"/>
      </w:pPr>
      <w:r>
        <w:t>Recovery – restore trusted systems, validate integrity, monitor closely, and return services to normal operation.</w:t>
      </w:r>
    </w:p>
    <w:p>
      <w:pPr>
        <w:pStyle w:val="ListNumber"/>
        <w:spacing w:after="60"/>
      </w:pPr>
      <w:r>
        <w:t>Lessons Learned – document what happened, what worked, what failed, and which controls need improvement.</w:t>
      </w:r>
    </w:p>
    <w:p>
      <w:pPr>
        <w:pStyle w:val="Heading2"/>
      </w:pPr>
      <w:r>
        <w:t>8.2 30-Day Improvement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rFonts w:ascii="Arial" w:hAnsi="Arial"/>
                <w:sz w:val="16"/>
              </w:rPr>
              <w:t>Period</w:t>
            </w:r>
          </w:p>
        </w:tc>
        <w:tc>
          <w:tcPr>
            <w:tcW w:type="dxa" w:w="3312"/>
            <w:shd w:fill="D9EAF7"/>
            <w:vAlign w:val="center"/>
          </w:tcPr>
          <w:p>
            <w:r>
              <w:rPr>
                <w:rFonts w:ascii="Arial" w:hAnsi="Arial"/>
                <w:sz w:val="16"/>
              </w:rPr>
              <w:t>Key Activities</w:t>
            </w:r>
          </w:p>
        </w:tc>
        <w:tc>
          <w:tcPr>
            <w:tcW w:type="dxa" w:w="3312"/>
            <w:shd w:fill="D9EAF7"/>
            <w:vAlign w:val="center"/>
          </w:tcPr>
          <w:p>
            <w:r>
              <w:rPr>
                <w:rFonts w:ascii="Arial" w:hAnsi="Arial"/>
                <w:sz w:val="16"/>
              </w:rPr>
              <w:t>Expected Outcome</w:t>
            </w:r>
          </w:p>
        </w:tc>
      </w:tr>
      <w:tr>
        <w:tc>
          <w:tcPr>
            <w:tcW w:type="dxa" w:w="3312"/>
            <w:vAlign w:val="center"/>
          </w:tcPr>
          <w:p>
            <w:r>
              <w:rPr>
                <w:rFonts w:ascii="Arial" w:hAnsi="Arial"/>
                <w:sz w:val="16"/>
              </w:rPr>
              <w:t>Days 1–7</w:t>
            </w:r>
          </w:p>
        </w:tc>
        <w:tc>
          <w:tcPr>
            <w:tcW w:type="dxa" w:w="3312"/>
            <w:vAlign w:val="center"/>
          </w:tcPr>
          <w:p>
            <w:r>
              <w:rPr>
                <w:rFonts w:ascii="Arial" w:hAnsi="Arial"/>
                <w:sz w:val="16"/>
              </w:rPr>
              <w:t>Identify critical services, owners, internet-facing assets, privileged accounts, and major data categories.</w:t>
            </w:r>
          </w:p>
        </w:tc>
        <w:tc>
          <w:tcPr>
            <w:tcW w:type="dxa" w:w="3312"/>
            <w:vAlign w:val="center"/>
          </w:tcPr>
          <w:p>
            <w:r>
              <w:rPr>
                <w:rFonts w:ascii="Arial" w:hAnsi="Arial"/>
                <w:sz w:val="16"/>
              </w:rPr>
              <w:t>Initial asset and risk visibility</w:t>
            </w:r>
          </w:p>
        </w:tc>
      </w:tr>
      <w:tr>
        <w:tc>
          <w:tcPr>
            <w:tcW w:type="dxa" w:w="3312"/>
            <w:vAlign w:val="center"/>
          </w:tcPr>
          <w:p>
            <w:r>
              <w:rPr>
                <w:rFonts w:ascii="Arial" w:hAnsi="Arial"/>
                <w:sz w:val="16"/>
              </w:rPr>
              <w:t>Days 8–14</w:t>
            </w:r>
          </w:p>
        </w:tc>
        <w:tc>
          <w:tcPr>
            <w:tcW w:type="dxa" w:w="3312"/>
            <w:vAlign w:val="center"/>
          </w:tcPr>
          <w:p>
            <w:r>
              <w:rPr>
                <w:rFonts w:ascii="Arial" w:hAnsi="Arial"/>
                <w:sz w:val="16"/>
              </w:rPr>
              <w:t>Review MFA, access privileges, patch status, backups, API inventory, and exposed services.</w:t>
            </w:r>
          </w:p>
        </w:tc>
        <w:tc>
          <w:tcPr>
            <w:tcW w:type="dxa" w:w="3312"/>
            <w:vAlign w:val="center"/>
          </w:tcPr>
          <w:p>
            <w:r>
              <w:rPr>
                <w:rFonts w:ascii="Arial" w:hAnsi="Arial"/>
                <w:sz w:val="16"/>
              </w:rPr>
              <w:t>High-risk gaps identified</w:t>
            </w:r>
          </w:p>
        </w:tc>
      </w:tr>
      <w:tr>
        <w:tc>
          <w:tcPr>
            <w:tcW w:type="dxa" w:w="3312"/>
            <w:vAlign w:val="center"/>
          </w:tcPr>
          <w:p>
            <w:r>
              <w:rPr>
                <w:rFonts w:ascii="Arial" w:hAnsi="Arial"/>
                <w:sz w:val="16"/>
              </w:rPr>
              <w:t>Days 15–21</w:t>
            </w:r>
          </w:p>
        </w:tc>
        <w:tc>
          <w:tcPr>
            <w:tcW w:type="dxa" w:w="3312"/>
            <w:vAlign w:val="center"/>
          </w:tcPr>
          <w:p>
            <w:r>
              <w:rPr>
                <w:rFonts w:ascii="Arial" w:hAnsi="Arial"/>
                <w:sz w:val="16"/>
              </w:rPr>
              <w:t>Prioritize remediation; improve logging, backup protection, and phishing awareness.</w:t>
            </w:r>
          </w:p>
        </w:tc>
        <w:tc>
          <w:tcPr>
            <w:tcW w:type="dxa" w:w="3312"/>
            <w:vAlign w:val="center"/>
          </w:tcPr>
          <w:p>
            <w:r>
              <w:rPr>
                <w:rFonts w:ascii="Arial" w:hAnsi="Arial"/>
                <w:sz w:val="16"/>
              </w:rPr>
              <w:t>Critical risks reduced</w:t>
            </w:r>
          </w:p>
        </w:tc>
      </w:tr>
      <w:tr>
        <w:tc>
          <w:tcPr>
            <w:tcW w:type="dxa" w:w="3312"/>
            <w:vAlign w:val="center"/>
          </w:tcPr>
          <w:p>
            <w:r>
              <w:rPr>
                <w:rFonts w:ascii="Arial" w:hAnsi="Arial"/>
                <w:sz w:val="16"/>
              </w:rPr>
              <w:t>Days 22–30</w:t>
            </w:r>
          </w:p>
        </w:tc>
        <w:tc>
          <w:tcPr>
            <w:tcW w:type="dxa" w:w="3312"/>
            <w:vAlign w:val="center"/>
          </w:tcPr>
          <w:p>
            <w:r>
              <w:rPr>
                <w:rFonts w:ascii="Arial" w:hAnsi="Arial"/>
                <w:sz w:val="16"/>
              </w:rPr>
              <w:t>Conduct an incident-response tabletop exercise and verify backup restoration.</w:t>
            </w:r>
          </w:p>
        </w:tc>
        <w:tc>
          <w:tcPr>
            <w:tcW w:type="dxa" w:w="3312"/>
            <w:vAlign w:val="center"/>
          </w:tcPr>
          <w:p>
            <w:r>
              <w:rPr>
                <w:rFonts w:ascii="Arial" w:hAnsi="Arial"/>
                <w:sz w:val="16"/>
              </w:rPr>
              <w:t>Improved readiness and recovery confidence</w:t>
            </w:r>
          </w:p>
        </w:tc>
      </w:tr>
    </w:tbl>
    <w:p>
      <w:pPr>
        <w:pStyle w:val="Heading2"/>
      </w:pPr>
      <w:r>
        <w:t>8.3 NIST CSF 2.0 Alignment</w:t>
      </w:r>
    </w:p>
    <w:p>
      <w:r>
        <w:t>NIST Cybersecurity Framework 2.0 provides a general structure for managing cybersecurity risk across government and other organizations. For this report, the framework can be mapped conceptually as follows: Govern – establish roles, policies, risk appetite, and oversight; Identify – understand assets, dependencies, data, and risks; Protect – implement access control, awareness, data security, and platform safeguards; Detect – continuously monitor for anomalies and events; Respond – manage and contain incidents; Recover – restore services and improve resilience.</w:t>
      </w:r>
    </w:p>
    <w:p>
      <w:r>
        <w:t>The value of this approach is that it connects technical controls with organizational accountability. It also allows management to communicate cybersecurity priorities in terms of business and public-service outcomes rather than isolated security tools.</w:t>
      </w:r>
    </w:p>
    <w:p>
      <w:r>
        <w:br w:type="page"/>
      </w:r>
    </w:p>
    <w:p>
      <w:pPr>
        <w:pStyle w:val="Heading1"/>
      </w:pPr>
      <w:r>
        <w:t>9. Conclusion</w:t>
      </w:r>
    </w:p>
    <w:p>
      <w:r>
        <w:t>Digital government services are essential public infrastructure, and their security requires a balanced approach to confidentiality, integrity, availability, privacy, and service continuity. The threat landscape includes both technical attacks and human-centered attacks. Ransomware can interrupt operations; phishing can compromise trusted accounts; data breaches can expose sensitive information; DDoS can make services unavailable; and web/API weaknesses can permit unauthorized access or manipulation.</w:t>
      </w:r>
    </w:p>
    <w:p>
      <w:r>
        <w:t>The analysis shows that the highest-priority areas are identity security, data protection, ransomware resilience, secure application/API development, and continuous monitoring. These risks are interconnected. For example, strong MFA reduces the probability of account takeover, while least privilege limits the damage if an account is compromised. Secure APIs reduce unauthorized data access, while logging improves the ability to detect and investigate misuse. Protected backups reduce the operational impact of ransomware.</w:t>
      </w:r>
    </w:p>
    <w:p>
      <w:r>
        <w:t>Cybersecurity should therefore be treated as a continuous risk-management process rather than a one-time project. Government organizations should maintain accurate asset inventories, regularly reassess risks, patch vulnerable systems, test backups, monitor critical activity, train personnel, assess third-party dependencies, and exercise incident-response procedures.</w:t>
      </w:r>
    </w:p>
    <w:p>
      <w:r>
        <w:t>Finally, this report is intentionally based on public information and does not attempt to test or exploit real government systems. Any technical security assessment of a public service must be authorized, scoped, documented, and conducted in accordance with applicable laws, policies, and responsible disclosure procedures.</w:t>
      </w:r>
    </w:p>
    <w:p>
      <w:pPr>
        <w:pStyle w:val="Heading1"/>
      </w:pPr>
      <w:r>
        <w:t>10. Key Recommendations at a Glance</w:t>
      </w:r>
    </w:p>
    <w:p>
      <w:pPr>
        <w:pStyle w:val="ListBullet"/>
        <w:spacing w:after="60"/>
      </w:pPr>
      <w:r>
        <w:t>Make MFA mandatory for privileged and high-risk access.</w:t>
      </w:r>
    </w:p>
    <w:p>
      <w:pPr>
        <w:pStyle w:val="ListBullet"/>
        <w:spacing w:after="60"/>
      </w:pPr>
      <w:r>
        <w:t>Apply least privilege and regularly review administrative permissions.</w:t>
      </w:r>
    </w:p>
    <w:p>
      <w:pPr>
        <w:pStyle w:val="ListBullet"/>
        <w:spacing w:after="60"/>
      </w:pPr>
      <w:r>
        <w:t>Maintain an accurate inventory of systems, APIs, data, and third-party dependencies.</w:t>
      </w:r>
    </w:p>
    <w:p>
      <w:pPr>
        <w:pStyle w:val="ListBullet"/>
        <w:spacing w:after="60"/>
      </w:pPr>
      <w:r>
        <w:t>Use risk-based patch and vulnerability management.</w:t>
      </w:r>
    </w:p>
    <w:p>
      <w:pPr>
        <w:pStyle w:val="ListBullet"/>
        <w:spacing w:after="60"/>
      </w:pPr>
      <w:r>
        <w:t>Protect and regularly test offline or otherwise isolated backups.</w:t>
      </w:r>
    </w:p>
    <w:p>
      <w:pPr>
        <w:pStyle w:val="ListBullet"/>
        <w:spacing w:after="60"/>
      </w:pPr>
      <w:r>
        <w:t>Implement secure SDLC and API security practices based on recognized standards.</w:t>
      </w:r>
    </w:p>
    <w:p>
      <w:pPr>
        <w:pStyle w:val="ListBullet"/>
        <w:spacing w:after="60"/>
      </w:pPr>
      <w:r>
        <w:t>Centralize security logs and establish actionable monitoring and alerting.</w:t>
      </w:r>
    </w:p>
    <w:p>
      <w:pPr>
        <w:pStyle w:val="ListBullet"/>
        <w:spacing w:after="60"/>
      </w:pPr>
      <w:r>
        <w:t>Deploy appropriate DDoS, rate-limiting, and availability controls for public services.</w:t>
      </w:r>
    </w:p>
    <w:p>
      <w:pPr>
        <w:pStyle w:val="ListBullet"/>
        <w:spacing w:after="60"/>
      </w:pPr>
      <w:r>
        <w:t>Conduct regular phishing-awareness and incident-response exercises.</w:t>
      </w:r>
    </w:p>
    <w:p>
      <w:pPr>
        <w:pStyle w:val="ListBullet"/>
        <w:spacing w:after="60"/>
      </w:pPr>
      <w:r>
        <w:t>Continuously align cybersecurity governance with applicable Indian legal and regulatory requirements.</w:t>
      </w:r>
    </w:p>
    <w:p>
      <w:pPr>
        <w:pStyle w:val="Heading1"/>
      </w:pPr>
      <w:r>
        <w:t>11. References</w:t>
      </w:r>
    </w:p>
    <w:p>
      <w:pPr>
        <w:spacing w:after="100"/>
      </w:pPr>
      <w:r>
        <w:rPr>
          <w:b/>
        </w:rPr>
        <w:t>1. CERT-In, Advisory CIAD-2025-0019, “Essential Measures for Industry for Safeguarding Business Operations against Cyber Security Threats,” 10 May 2025.</w:t>
        <w:br/>
      </w:r>
      <w:r>
        <w:t>https://www.cert-in.org.in/s2cMainServlet?VLCODE=CIAD-2025-0019&amp;pageid=PUBVLNOTES02</w:t>
      </w:r>
    </w:p>
    <w:p>
      <w:pPr>
        <w:spacing w:after="100"/>
      </w:pPr>
      <w:r>
        <w:rPr>
          <w:b/>
        </w:rPr>
        <w:t>2. CERT-In, Advisory CIAD-2025-0002, “Multiple vulnerabilities in Microsoft Products,” 15 January 2025.</w:t>
        <w:br/>
      </w:r>
      <w:r>
        <w:t>https://www.cert-in.org.in/s2cMainServlet?VLCODE=CIAD-2025-0002&amp;pageid=PUBVLNOTES02</w:t>
      </w:r>
    </w:p>
    <w:p>
      <w:pPr>
        <w:spacing w:after="100"/>
      </w:pPr>
      <w:r>
        <w:rPr>
          <w:b/>
        </w:rPr>
        <w:t>3. OWASP Foundation, “OWASP API Security Top 10 – 2023.”</w:t>
        <w:br/>
      </w:r>
      <w:r>
        <w:t>https://owasp.org/API-Security/editions/2023/en/0x11-t10/</w:t>
      </w:r>
    </w:p>
    <w:p>
      <w:pPr>
        <w:spacing w:after="100"/>
      </w:pPr>
      <w:r>
        <w:rPr>
          <w:b/>
        </w:rPr>
        <w:t>4. OWASP Foundation, “OWASP API Security Project.”</w:t>
        <w:br/>
      </w:r>
      <w:r>
        <w:t>https://owasp.org/www-project-api-security/</w:t>
      </w:r>
    </w:p>
    <w:p>
      <w:pPr>
        <w:spacing w:after="100"/>
      </w:pPr>
      <w:r>
        <w:rPr>
          <w:b/>
        </w:rPr>
        <w:t>5. NIST, “The NIST Cybersecurity Framework (CSF) 2.0,” 2024.</w:t>
        <w:br/>
      </w:r>
      <w:r>
        <w:t>https://www.nist.gov/publications/nist-cybersecurity-framework-csf-20</w:t>
      </w:r>
    </w:p>
    <w:p>
      <w:pPr>
        <w:spacing w:after="100"/>
      </w:pPr>
      <w:r>
        <w:rPr>
          <w:b/>
        </w:rPr>
        <w:t>6. NIST, “Cybersecurity Framework 2.0 Resource Center.”</w:t>
        <w:br/>
      </w:r>
      <w:r>
        <w:t>https://www.nist.gov/cyberframework</w:t>
      </w:r>
    </w:p>
    <w:p>
      <w:pPr>
        <w:spacing w:after="100"/>
      </w:pPr>
      <w:r>
        <w:rPr>
          <w:b/>
        </w:rPr>
        <w:t>7. Ministry of Electronics and Information Technology, Government of India, “Digital Personal Data Protection Act, 2023.”</w:t>
        <w:br/>
      </w:r>
      <w:r>
        <w:t>https://www.meity.gov.in/static/uploads/2024/02/Digital-Personal-Data-Protection-Act-2023.pdf</w:t>
      </w:r>
    </w:p>
    <w:p>
      <w:pPr>
        <w:spacing w:after="100"/>
      </w:pPr>
      <w:r>
        <w:rPr>
          <w:b/>
        </w:rPr>
        <w:t>8. Ministry of Electronics and Information Technology, Government of India, “Digital Personal Data Protection Rules, 2025.”</w:t>
        <w:br/>
      </w:r>
      <w:r>
        <w:t>https://www.meity.gov.in/documents/act-and-policies/digital-personal-data-protection-rules-2025-gDOxUjMtQWa</w:t>
      </w:r>
    </w:p>
    <w:p>
      <w:pPr>
        <w:pStyle w:val="Heading1"/>
      </w:pPr>
      <w:r>
        <w:t>Appendix A – Suggested Evidence for Internship Evaluation</w:t>
      </w:r>
    </w:p>
    <w:p>
      <w:r>
        <w:t>For the internship submission, the intern may retain a small evidence folder containing the final report, research notes, the risk matrix spreadsheet or table, and the GitHub repository README. Evidence should demonstrate the research and analysis performed without containing confidential information, credentials, personal data, or unauthorized security-testing results.</w:t>
      </w:r>
    </w:p>
    <w:p>
      <w:pPr>
        <w:pStyle w:val="ListBullet"/>
        <w:spacing w:after="60"/>
      </w:pPr>
      <w:r>
        <w:t>Final DOCX report</w:t>
      </w:r>
    </w:p>
    <w:p>
      <w:pPr>
        <w:pStyle w:val="ListBullet"/>
        <w:spacing w:after="60"/>
      </w:pPr>
      <w:r>
        <w:t>Risk matrix and methodology</w:t>
      </w:r>
    </w:p>
    <w:p>
      <w:pPr>
        <w:pStyle w:val="ListBullet"/>
        <w:spacing w:after="60"/>
      </w:pPr>
      <w:r>
        <w:t>List of authoritative sources reviewed</w:t>
      </w:r>
    </w:p>
    <w:p>
      <w:pPr>
        <w:pStyle w:val="ListBullet"/>
        <w:spacing w:after="60"/>
      </w:pPr>
      <w:r>
        <w:t>GitHub repository containing README and report-supporting material, if required by the internship</w:t>
      </w:r>
    </w:p>
    <w:p>
      <w:pPr>
        <w:pStyle w:val="ListBullet"/>
        <w:spacing w:after="60"/>
      </w:pPr>
      <w:r>
        <w:t>No real credentials, private keys, personal data, or unauthorized scan results</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1 – Cyber Security Landscape Analysis | Junior Cyber Security Analyst – E-Governance &amp; Digital Services</w:t>
    </w:r>
    <w:r>
      <w:rPr>
        <w:sz w:val="16"/>
      </w:rPr>
      <w:t>Week 1 – Cyber Security Landscape Analysis | Junior Cyber Security Analyst – E-Governance &amp; Digital Services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rial" w:hAnsi="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