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bCs/>
          <w:color w:val="000000"/>
          <w:kern w:val="2"/>
          <w:sz w:val="32"/>
          <w:szCs w:val="32"/>
          <w:lang w:val="en-US" w:eastAsia="zh-CN" w:bidi="ar-SA"/>
        </w:rPr>
        <w:t>Артикли</w:t>
      </w:r>
    </w:p>
    <w:p>
      <w:pPr>
        <w:pStyle w:val="Normal"/>
        <w:spacing w:before="240" w:after="200"/>
        <w:jc w:val="center"/>
        <w:rPr>
          <w:rFonts w:ascii="Times New Roman" w:hAnsi="Times New Roman" w:eastAsia="Basic Roman" w:cs="Times New Roman"/>
          <w:b/>
          <w:b/>
          <w:bCs/>
          <w:color w:val="000000"/>
          <w:kern w:val="2"/>
          <w:lang w:val="en-US" w:eastAsia="zh-CN" w:bidi="ar-SA"/>
        </w:rPr>
      </w:pPr>
      <w:r>
        <w:rPr>
          <w:sz w:val="32"/>
          <w:szCs w:val="32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 xml:space="preserve">Артикли используются тогда, когда говорится об одиночном существительном. </w:t>
      </w:r>
    </w:p>
    <w:p>
      <w:pPr>
        <w:pStyle w:val="Normal"/>
        <w:spacing w:before="240" w:after="200"/>
        <w:jc w:val="left"/>
        <w:rPr>
          <w:rFonts w:ascii="Times New Roman" w:hAnsi="Times New Roman" w:eastAsia="Basic Roman" w:cs="Times New Roman"/>
          <w:color w:val="000000"/>
          <w:kern w:val="2"/>
          <w:lang w:val="en-US" w:eastAsia="zh-CN" w:bidi="ar-SA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before="240" w:after="200"/>
        <w:jc w:val="left"/>
        <w:rPr/>
      </w:pP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 xml:space="preserve">Артикль </w:t>
      </w:r>
      <w:r>
        <w:rPr>
          <w:rFonts w:eastAsia="Basic Roman" w:cs="Times New Roman" w:ascii="Times New Roman" w:hAnsi="Times New Roman"/>
          <w:b/>
          <w:bCs/>
          <w:color w:val="C9211E"/>
          <w:kern w:val="2"/>
          <w:sz w:val="28"/>
          <w:szCs w:val="28"/>
          <w:lang w:val="en-US" w:eastAsia="zh-CN" w:bidi="ar-SA"/>
        </w:rPr>
        <w:t>a</w:t>
      </w:r>
      <w:r>
        <w:rPr>
          <w:rFonts w:eastAsia="Basic Roman" w:cs="Times New Roman" w:ascii="Times New Roman" w:hAnsi="Times New Roman"/>
          <w:b/>
          <w:bCs/>
          <w:color w:val="000000"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 xml:space="preserve"> - употреблятся, когда: </w:t>
      </w:r>
    </w:p>
    <w:p>
      <w:pPr>
        <w:pStyle w:val="Normal"/>
        <w:numPr>
          <w:ilvl w:val="0"/>
          <w:numId w:val="2"/>
        </w:numPr>
        <w:spacing w:before="240" w:after="200"/>
        <w:jc w:val="left"/>
        <w:rPr>
          <w:b w:val="false"/>
          <w:b w:val="false"/>
          <w:bCs w:val="false"/>
        </w:rPr>
      </w:pP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>говорят о предмете в диалоге первый раз</w:t>
      </w:r>
    </w:p>
    <w:p>
      <w:pPr>
        <w:pStyle w:val="Normal"/>
        <w:numPr>
          <w:ilvl w:val="0"/>
          <w:numId w:val="2"/>
        </w:numPr>
        <w:spacing w:before="240" w:after="200"/>
        <w:jc w:val="left"/>
        <w:rPr>
          <w:b w:val="false"/>
          <w:b w:val="false"/>
          <w:bCs w:val="false"/>
        </w:rPr>
      </w:pP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 xml:space="preserve">первая буква существительного согласная: </w:t>
      </w:r>
      <w:r>
        <w:rPr>
          <w:rFonts w:eastAsia="Basic Roman" w:cs="Times New Roman" w:ascii="Times New Roman" w:hAnsi="Times New Roman"/>
          <w:b/>
          <w:bCs/>
          <w:color w:val="C9211E"/>
          <w:kern w:val="2"/>
          <w:sz w:val="28"/>
          <w:szCs w:val="28"/>
          <w:lang w:val="en-US" w:eastAsia="zh-CN" w:bidi="ar-SA"/>
        </w:rPr>
        <w:t>a</w:t>
      </w: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eastAsia="Basic Roman" w:cs="Times New Roman" w:ascii="Times New Roman" w:hAnsi="Times New Roman"/>
          <w:b/>
          <w:bCs/>
          <w:color w:val="C9211E"/>
          <w:kern w:val="2"/>
          <w:sz w:val="28"/>
          <w:szCs w:val="28"/>
          <w:lang w:val="en-US" w:eastAsia="zh-CN" w:bidi="ar-SA"/>
        </w:rPr>
        <w:t>car</w:t>
      </w: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 xml:space="preserve"> </w:t>
      </w:r>
    </w:p>
    <w:p>
      <w:pPr>
        <w:pStyle w:val="Normal"/>
        <w:numPr>
          <w:ilvl w:val="0"/>
          <w:numId w:val="2"/>
        </w:numPr>
        <w:spacing w:before="240" w:after="200"/>
        <w:jc w:val="left"/>
        <w:rPr>
          <w:b w:val="false"/>
          <w:b w:val="false"/>
          <w:bCs w:val="false"/>
        </w:rPr>
      </w:pP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>не “моя машина, мой дом” и т.д.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 xml:space="preserve">Для артикля </w:t>
      </w:r>
      <w:r>
        <w:rPr>
          <w:rFonts w:eastAsia="Basic Roman" w:cs="Times New Roman" w:ascii="Times New Roman" w:hAnsi="Times New Roman"/>
          <w:b/>
          <w:bCs/>
          <w:color w:val="C9211E"/>
          <w:kern w:val="2"/>
          <w:sz w:val="28"/>
          <w:szCs w:val="28"/>
          <w:lang w:val="en-US" w:eastAsia="zh-CN" w:bidi="ar-SA"/>
        </w:rPr>
        <w:t>an</w:t>
      </w: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 xml:space="preserve"> действуют те же правила, но употребляется, если первая буква существительного – гласная: </w:t>
      </w:r>
      <w:r>
        <w:rPr>
          <w:rFonts w:eastAsia="Basic Roman" w:cs="Times New Roman" w:ascii="Times New Roman" w:hAnsi="Times New Roman"/>
          <w:b/>
          <w:bCs/>
          <w:color w:val="C9211E"/>
          <w:kern w:val="2"/>
          <w:sz w:val="28"/>
          <w:szCs w:val="28"/>
          <w:lang w:val="en-US" w:eastAsia="zh-CN" w:bidi="ar-SA"/>
        </w:rPr>
        <w:t>an apple</w:t>
      </w:r>
    </w:p>
    <w:p>
      <w:pPr>
        <w:pStyle w:val="Normal"/>
        <w:spacing w:before="240" w:after="200"/>
        <w:jc w:val="left"/>
        <w:rPr>
          <w:rFonts w:ascii="Times New Roman" w:hAnsi="Times New Roman" w:eastAsia="Basic Roman" w:cs="Times New Roman"/>
          <w:b/>
          <w:b/>
          <w:bCs/>
          <w:color w:val="C9211E"/>
          <w:kern w:val="2"/>
          <w:sz w:val="28"/>
          <w:szCs w:val="28"/>
          <w:lang w:val="en-US" w:eastAsia="zh-CN" w:bidi="ar-SA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  <w:color w:val="000000"/>
        </w:rPr>
      </w:pP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 xml:space="preserve">Артикль </w:t>
      </w:r>
      <w:r>
        <w:rPr>
          <w:rFonts w:eastAsia="Basic Roman" w:cs="Times New Roman" w:ascii="Times New Roman" w:hAnsi="Times New Roman"/>
          <w:b/>
          <w:bCs/>
          <w:color w:val="C9211E"/>
          <w:kern w:val="2"/>
          <w:sz w:val="28"/>
          <w:szCs w:val="28"/>
          <w:lang w:val="en-US" w:eastAsia="zh-CN" w:bidi="ar-SA"/>
        </w:rPr>
        <w:t>the</w:t>
      </w: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 xml:space="preserve"> употребляется, когда: </w:t>
      </w:r>
    </w:p>
    <w:p>
      <w:pPr>
        <w:pStyle w:val="Normal"/>
        <w:numPr>
          <w:ilvl w:val="0"/>
          <w:numId w:val="3"/>
        </w:numPr>
        <w:spacing w:before="240" w:after="200"/>
        <w:jc w:val="left"/>
        <w:rPr>
          <w:b w:val="false"/>
          <w:b w:val="false"/>
          <w:bCs w:val="false"/>
          <w:color w:val="000000"/>
        </w:rPr>
      </w:pP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>о предмете говорят второй и более раз (конкретный предмет)</w:t>
      </w:r>
    </w:p>
    <w:p>
      <w:pPr>
        <w:pStyle w:val="Normal"/>
        <w:spacing w:before="24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346</TotalTime>
  <Application>LibreOffice/7.0.5.2$Linux_X86_64 LibreOffice_project/00$Build-2</Application>
  <AppVersion>15.0000</AppVersion>
  <Pages>1</Pages>
  <Words>67</Words>
  <Characters>372</Characters>
  <CharactersWithSpaces>432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2021-03-30T12:08:19Z</dcterms:modified>
  <cp:revision>439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