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Наречия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Наречие - часть речи, обозначающая признак действия. </w:t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Наречия места: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1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Here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Здесь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There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Там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Где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Inside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Внутри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Outside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Снаружи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Above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Наверху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Below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Внизу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Somewhere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Где-то, где-нибудь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Anywhere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Везде, куда-нибудь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Наречие времени: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1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Now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Сейчас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Когда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Then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Тогда, затем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Today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Сегодня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Yesterday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Вчера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Tomorrow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Завтра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Before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Прежде, раньше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Lately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Недавно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Recently 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 последнее время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Once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Когда-то, однажды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Меры и степени: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1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Much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Tittle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Мало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Very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Весьма, 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Too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Слишком,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So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Так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Enough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Довольно, достаточно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Hardly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Едва, еле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Scarcely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 трудом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Nearly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Почти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Almost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Почти, едва не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Образа действия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1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Well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Fast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Быстро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Quickly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Скоро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Slowly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Медленно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Quietly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Спокойно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Easily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Легко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Другие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1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Also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Тоже, к тому 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Either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Также,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Else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Ещё, кроме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Only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Только, просто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Even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Даже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LibreOffice/7.0.4.2$Linux_X86_64 LibreOffice_project/00$Build-2</Application>
  <AppVersion>15.0000</AppVersion>
  <Pages>3</Pages>
  <Words>117</Words>
  <Characters>662</Characters>
  <CharactersWithSpaces>698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2021-03-28T11:03:25Z</dcterms:modified>
  <cp:revision>322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