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ПРИТЯЖАТЕЛЬНЫЕ 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2645"/>
        <w:gridCol w:w="2650"/>
        <w:gridCol w:w="2649"/>
        <w:gridCol w:w="2943"/>
      </w:tblGrid>
      <w:tr>
        <w:trPr/>
        <w:tc>
          <w:tcPr>
            <w:tcW w:w="2645" w:type="dxa"/>
            <w:vMerge w:val="restart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Личные местоимения</w:t>
            </w:r>
          </w:p>
        </w:tc>
        <w:tc>
          <w:tcPr>
            <w:tcW w:w="8242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Притяжательные</w:t>
            </w:r>
          </w:p>
        </w:tc>
      </w:tr>
      <w:tr>
        <w:trPr/>
        <w:tc>
          <w:tcPr>
            <w:tcW w:w="2645" w:type="dxa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Присоединительные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Абсолютные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Перевод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Кто?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Кого? </w:t>
            </w:r>
            <w:r>
              <w:rPr>
                <w:rFonts w:ascii="Nimbus Roman" w:hAnsi="Nimbus Roman"/>
                <w:sz w:val="24"/>
                <w:szCs w:val="24"/>
              </w:rPr>
              <w:t>(не хотел беспокоить)</w:t>
              <w:br/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Кому?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(дать денежек)</w:t>
              <w:br/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Кем?</w:t>
            </w:r>
            <w:r>
              <w:rPr>
                <w:rFonts w:ascii="Nimbus Roman" w:hAnsi="Nimbus Roman"/>
                <w:sz w:val="24"/>
                <w:szCs w:val="24"/>
              </w:rPr>
              <w:t xml:space="preserve"> (сделано задание)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Чей?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mine (майн)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мой/мои и тд.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 (Ауэ) | us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ours (Ауэс)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наш | нас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 (йо)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yours (йос)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ваш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 | him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его | ему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её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 (итс) – без апострофа!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“</w:t>
            </w:r>
            <w:r>
              <w:rPr>
                <w:rFonts w:ascii="Nimbus Roman" w:hAnsi="Nimbus Roman"/>
                <w:sz w:val="26"/>
                <w:szCs w:val="26"/>
              </w:rPr>
              <w:t>его” среднего рода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theirs (зЕас)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их (ихний)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a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swimming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идём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свои?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child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with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as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Alex’s, car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Иногда она поливает мои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цветы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remember the street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любят его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Application>LibreOffice/7.0.4.2$Linux_X86_64 LibreOffice_project/00$Build-2</Application>
  <AppVersion>15.0000</AppVersion>
  <Pages>11</Pages>
  <Words>2464</Words>
  <Characters>11530</Characters>
  <CharactersWithSpaces>13646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2021-03-24T11:55:03Z</dcterms:modified>
  <cp:revision>830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