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jc w:val="center"/>
        <w:rPr>
          <w:sz w:val="32"/>
          <w:szCs w:val="32"/>
        </w:rPr>
      </w:pPr>
      <w:r>
        <w:rPr>
          <w:rFonts w:eastAsia="Basic Roman" w:cs="Times New Roman" w:ascii="Times New Roman" w:hAnsi="Times New Roman"/>
          <w:b/>
          <w:kern w:val="2"/>
          <w:sz w:val="32"/>
          <w:szCs w:val="32"/>
          <w:lang w:val="en-US" w:eastAsia="zh-CN" w:bidi="ar-SA"/>
        </w:rPr>
        <w:t>Going to</w:t>
      </w:r>
    </w:p>
    <w:p>
      <w:pPr>
        <w:pStyle w:val="Normal"/>
        <w:widowControl w:val="false"/>
        <w:tabs>
          <w:tab w:val="clear" w:pos="708"/>
        </w:tabs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tabs>
          <w:tab w:val="clear" w:pos="708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Going to — это как «</w:t>
      </w:r>
      <w:r>
        <w:rPr>
          <w:rFonts w:ascii="Times New Roman" w:hAnsi="Times New Roman"/>
          <w:b/>
          <w:bCs/>
          <w:sz w:val="28"/>
          <w:szCs w:val="28"/>
        </w:rPr>
        <w:t>собирается/собирался</w:t>
      </w:r>
      <w:r>
        <w:rPr>
          <w:rFonts w:ascii="Times New Roman" w:hAnsi="Times New Roman"/>
          <w:sz w:val="28"/>
          <w:szCs w:val="28"/>
        </w:rPr>
        <w:t>».</w:t>
        <w:br/>
        <w:br/>
        <w:t>Подлежащее + ? to be (not) + going to + глагол</w:t>
        <w:br/>
        <w:br/>
        <w:t xml:space="preserve">Намерения и решения: </w:t>
        <w:br/>
      </w:r>
    </w:p>
    <w:tbl>
      <w:tblPr>
        <w:tblStyle w:val="TableGrid"/>
        <w:tblW w:w="95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50"/>
        <w:gridCol w:w="4749"/>
      </w:tblGrid>
      <w:tr>
        <w:trPr>
          <w:trHeight w:val="479" w:hRule="atLeast"/>
        </w:trPr>
        <w:tc>
          <w:tcPr>
            <w:tcW w:w="4750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I am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going to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read</w:t>
              <w:br/>
              <w:t xml:space="preserve">I am not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going to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read</w:t>
              <w:br/>
              <w:t xml:space="preserve">Am I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going to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read?</w:t>
            </w:r>
          </w:p>
        </w:tc>
        <w:tc>
          <w:tcPr>
            <w:tcW w:w="474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Я собираюсь читать</w:t>
              <w:br/>
              <w:t>Я не собираюсь читать</w:t>
              <w:br/>
              <w:t>Я собираюсь читать?</w:t>
            </w:r>
          </w:p>
        </w:tc>
      </w:tr>
      <w:tr>
        <w:trPr>
          <w:trHeight w:val="479" w:hRule="atLeast"/>
        </w:trPr>
        <w:tc>
          <w:tcPr>
            <w:tcW w:w="47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He is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going to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wash his car</w:t>
              <w:br/>
              <w:t xml:space="preserve">He is not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going to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wash his car</w:t>
              <w:br/>
              <w:t xml:space="preserve">Is he not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going to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wash his car?</w:t>
            </w:r>
          </w:p>
        </w:tc>
        <w:tc>
          <w:tcPr>
            <w:tcW w:w="474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собирается помыть свою машину</w:t>
              <w:br/>
              <w:t>Он не собирается мыть свою машину</w:t>
              <w:br/>
              <w:t>Он собирается мыть свою машину?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They are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going to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play chess</w:t>
              <w:br/>
              <w:t xml:space="preserve">They are not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going to </w:t>
            </w:r>
            <w:r>
              <w:rPr>
                <w:rFonts w:ascii="Times New Roman" w:hAnsi="Times New Roman"/>
                <w:sz w:val="26"/>
                <w:szCs w:val="26"/>
              </w:rPr>
              <w:t>play chess</w:t>
              <w:br/>
              <w:t>Are they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going to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play chess?</w:t>
            </w:r>
          </w:p>
        </w:tc>
        <w:tc>
          <w:tcPr>
            <w:tcW w:w="474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собираются играть в шахматы</w:t>
              <w:br/>
              <w:t>Они не собираются играть в шахматы</w:t>
              <w:br/>
              <w:t>Они собираются играть в шахматы?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I was not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going to </w:t>
            </w:r>
            <w:r>
              <w:rPr>
                <w:rFonts w:ascii="Times New Roman" w:hAnsi="Times New Roman"/>
                <w:sz w:val="26"/>
                <w:szCs w:val="26"/>
              </w:rPr>
              <w:t>quit programming</w:t>
            </w:r>
          </w:p>
        </w:tc>
        <w:tc>
          <w:tcPr>
            <w:tcW w:w="474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Я не собирался бросать программирование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They were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not going </w:t>
            </w:r>
            <w:r>
              <w:rPr>
                <w:rFonts w:ascii="Times New Roman" w:hAnsi="Times New Roman"/>
                <w:sz w:val="26"/>
                <w:szCs w:val="26"/>
              </w:rPr>
              <w:t>to quit programming</w:t>
            </w:r>
          </w:p>
        </w:tc>
        <w:tc>
          <w:tcPr>
            <w:tcW w:w="474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не собирались бросать программирование</w:t>
            </w:r>
          </w:p>
        </w:tc>
      </w:tr>
    </w:tbl>
    <w:p>
      <w:pPr>
        <w:pStyle w:val="Normal"/>
        <w:spacing w:before="240" w:after="200"/>
        <w:rPr/>
      </w:pPr>
      <w:r>
        <w:rPr/>
      </w:r>
    </w:p>
    <w:p>
      <w:pPr>
        <w:pStyle w:val="Normal"/>
        <w:spacing w:before="240" w:after="200"/>
        <w:rPr/>
      </w:pPr>
      <w:r>
        <w:rPr>
          <w:rFonts w:eastAsia="Basic Roman" w:ascii="Times New Roman" w:hAnsi="Times New Roman"/>
          <w:kern w:val="2"/>
          <w:sz w:val="28"/>
          <w:szCs w:val="28"/>
          <w:lang w:val="en-US" w:eastAsia="zh-CN" w:bidi="ar-SA"/>
        </w:rPr>
        <w:t xml:space="preserve">Также </w:t>
      </w:r>
      <w:r>
        <w:rPr>
          <w:rFonts w:eastAsia="Basic Roman" w:ascii="Times New Roman" w:hAnsi="Times New Roman"/>
          <w:b/>
          <w:bCs/>
          <w:kern w:val="2"/>
          <w:sz w:val="28"/>
          <w:szCs w:val="28"/>
          <w:lang w:val="en-US" w:eastAsia="zh-CN" w:bidi="ar-SA"/>
        </w:rPr>
        <w:t xml:space="preserve">going to </w:t>
      </w:r>
      <w:r>
        <w:rPr>
          <w:rFonts w:eastAsia="Basic Roman" w:ascii="Times New Roman" w:hAnsi="Times New Roman"/>
          <w:kern w:val="2"/>
          <w:sz w:val="28"/>
          <w:szCs w:val="28"/>
          <w:lang w:val="en-US" w:eastAsia="zh-CN" w:bidi="ar-SA"/>
        </w:rPr>
        <w:t>используется, если можно сделать прогнозы, основанные на явных признаках:</w:t>
      </w:r>
    </w:p>
    <w:tbl>
      <w:tblPr>
        <w:tblStyle w:val="TableGrid"/>
        <w:tblW w:w="95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50"/>
        <w:gridCol w:w="4749"/>
      </w:tblGrid>
      <w:tr>
        <w:trPr>
          <w:trHeight w:val="479" w:hRule="atLeast"/>
        </w:trPr>
        <w:tc>
          <w:tcPr>
            <w:tcW w:w="4750" w:type="dxa"/>
            <w:tcBorders/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The sky is getting darker and docker. It’s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going to </w:t>
            </w:r>
            <w:r>
              <w:rPr>
                <w:rFonts w:ascii="Times New Roman" w:hAnsi="Times New Roman"/>
                <w:sz w:val="26"/>
                <w:szCs w:val="26"/>
              </w:rPr>
              <w:t>rain soon.</w:t>
            </w:r>
          </w:p>
        </w:tc>
        <w:tc>
          <w:tcPr>
            <w:tcW w:w="4749" w:type="dxa"/>
            <w:tcBorders/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Небо становится темнее и темнее. Скоро пойдёт дождь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Loog out! You are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going to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fall</w:t>
            </w:r>
          </w:p>
        </w:tc>
        <w:tc>
          <w:tcPr>
            <w:tcW w:w="474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Осторожно! Ты упадёшь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Don’t walk across that old bridge. It look like it’s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going to </w:t>
            </w:r>
            <w:r>
              <w:rPr>
                <w:rFonts w:ascii="Times New Roman" w:hAnsi="Times New Roman"/>
                <w:sz w:val="26"/>
                <w:szCs w:val="26"/>
              </w:rPr>
              <w:t>collapse</w:t>
            </w:r>
          </w:p>
        </w:tc>
        <w:tc>
          <w:tcPr>
            <w:tcW w:w="474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Не ходи по тому старому мосту. Похоже, что он рухнет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The traffic isterrible. We are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going to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be late</w:t>
            </w:r>
          </w:p>
        </w:tc>
        <w:tc>
          <w:tcPr>
            <w:tcW w:w="474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Движение ужасное. Мы опоздаем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Watch out! You are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going to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spill your tea</w:t>
            </w:r>
          </w:p>
        </w:tc>
        <w:tc>
          <w:tcPr>
            <w:tcW w:w="474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Осторожно! Ты прольёшь свой чай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Практические задания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1. </w:t>
      </w:r>
      <w:r>
        <w:rPr>
          <w:rStyle w:val="InternetLink"/>
          <w:rFonts w:ascii="Times new roman" w:hAnsi="Times new roman"/>
          <w:b/>
          <w:bCs/>
          <w:sz w:val="28"/>
          <w:szCs w:val="28"/>
        </w:rPr>
        <w:t>https://engblog.ru/be-going-to</w:t>
      </w:r>
    </w:p>
    <w:tbl>
      <w:tblPr>
        <w:tblStyle w:val="TableGrid"/>
        <w:tblW w:w="95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50"/>
        <w:gridCol w:w="4749"/>
      </w:tblGrid>
      <w:tr>
        <w:trPr>
          <w:trHeight w:val="479" w:hRule="atLeast"/>
        </w:trPr>
        <w:tc>
          <w:tcPr>
            <w:tcW w:w="4750" w:type="dxa"/>
            <w:tcBorders/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brother is going to change his haircut</w:t>
            </w:r>
          </w:p>
        </w:tc>
        <w:tc>
          <w:tcPr>
            <w:tcW w:w="4749" w:type="dxa"/>
            <w:tcBorders/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Мой брат собирается сменить стрижку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Nancy and Drew are not going to visit their aunt and uncle</w:t>
            </w:r>
          </w:p>
        </w:tc>
        <w:tc>
          <w:tcPr>
            <w:tcW w:w="474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Нэнси и Дрю не собираются навещать тётю и дядю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Are they going to cheat during the exam?</w:t>
            </w:r>
          </w:p>
        </w:tc>
        <w:tc>
          <w:tcPr>
            <w:tcW w:w="474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Собираются ли они жульничать на экзамене?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Her husband is not going to help with all homework</w:t>
            </w:r>
          </w:p>
        </w:tc>
        <w:tc>
          <w:tcPr>
            <w:tcW w:w="474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Её муж не собирается помогать с домашкой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 can not believe it! My best friends are going to late for my birthday party</w:t>
            </w:r>
          </w:p>
        </w:tc>
        <w:tc>
          <w:tcPr>
            <w:tcW w:w="474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Я не могу в это поверить! Мой лучший друг опаздывает на мою днюху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Bob is really happy! His mother is going to buy him a car</w:t>
            </w:r>
          </w:p>
        </w:tc>
        <w:tc>
          <w:tcPr>
            <w:tcW w:w="474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Боб реально счастлив! Его мать собирается купить ему машину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Is she going to fly to Paris next summer?</w:t>
            </w:r>
          </w:p>
        </w:tc>
        <w:tc>
          <w:tcPr>
            <w:tcW w:w="474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Собирается ли она следующим летом лететь в Париж?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 don’t want to go anywhere. I am going to stay at home tonight</w:t>
            </w:r>
          </w:p>
        </w:tc>
        <w:tc>
          <w:tcPr>
            <w:tcW w:w="474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Я не хочу никуда идти. Я собираюсь остаться дома сегодня вечером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103</TotalTime>
  <Application>LibreOffice/7.0.4.2$Linux_X86_64 LibreOffice_project/00$Build-2</Application>
  <AppVersion>15.0000</AppVersion>
  <Pages>2</Pages>
  <Words>399</Words>
  <Characters>1818</Characters>
  <CharactersWithSpaces>2181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ru-RU</dc:language>
  <cp:lastModifiedBy/>
  <dcterms:modified xsi:type="dcterms:W3CDTF">2021-03-08T10:59:10Z</dcterms:modified>
  <cp:revision>272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