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>
      <w:pPr>
        <w:pStyle w:val="Normal"/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/>
          <w:bCs/>
          <w:caps/>
          <w:szCs w:val="28"/>
        </w:rPr>
      </w:pPr>
      <w:r>
        <w:rPr>
          <w:rFonts w:cs="Times New Roman"/>
          <w:b/>
          <w:bCs/>
          <w:caps/>
          <w:szCs w:val="28"/>
        </w:rPr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>
      <w:pPr>
        <w:pStyle w:val="BodyText"/>
        <w:ind w:hanging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commentRangeStart w:id="0"/>
      <w:r>
        <w:rPr>
          <w:b/>
          <w:bCs/>
          <w:sz w:val="36"/>
          <w:szCs w:val="36"/>
        </w:rPr>
        <w:t>УЧЕБНОЙ</w:t>
      </w:r>
      <w:r>
        <w:rPr>
          <w:b/>
          <w:bCs/>
          <w:sz w:val="36"/>
          <w:szCs w:val="36"/>
        </w:rPr>
      </w:r>
      <w:commentRangeEnd w:id="0"/>
      <w:r>
        <w:commentReference w:id="0"/>
      </w:r>
      <w:r>
        <w:rPr>
          <w:b/>
          <w:bCs/>
          <w:sz w:val="36"/>
          <w:szCs w:val="36"/>
        </w:rPr>
        <w:t xml:space="preserve"> ПРАКТИКЕ</w:t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caps/>
          <w:color w:val="FF0000"/>
          <w:szCs w:val="28"/>
        </w:rPr>
      </w:pPr>
      <w:r>
        <w:rPr>
          <w:rFonts w:cs="Times New Roman"/>
          <w:caps/>
          <w:color w:val="FF0000"/>
          <w:szCs w:val="28"/>
        </w:rPr>
      </w:r>
    </w:p>
    <w:p>
      <w:pPr>
        <w:pStyle w:val="BodyText"/>
        <w:ind w:hanging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mallCaps/>
          <w:szCs w:val="28"/>
        </w:rPr>
      </w:pPr>
      <w:r>
        <w:rPr>
          <w:rFonts w:cs="Times New Roman"/>
          <w:smallCap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297"/>
        <w:gridCol w:w="1783"/>
        <w:gridCol w:w="2470"/>
        <w:gridCol w:w="255"/>
        <w:gridCol w:w="2549"/>
      </w:tblGrid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Студент гр. 4345</w:t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  <w:color w:val="FF0000"/>
                <w:szCs w:val="28"/>
              </w:rPr>
              <w:t xml:space="preserve">И.И. Иванов </w:t>
            </w:r>
          </w:p>
        </w:tc>
      </w:tr>
      <w:tr>
        <w:trPr>
          <w:trHeight w:val="211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snapToGrid w:val="false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  <w:tr>
        <w:trPr>
          <w:trHeight w:val="397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</w:r>
          </w:p>
        </w:tc>
        <w:tc>
          <w:tcPr>
            <w:tcW w:w="247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  <w:vAlign w:val="bottom"/>
          </w:tcPr>
          <w:p>
            <w:pPr>
              <w:pStyle w:val="Normal"/>
              <w:rPr>
                <w:rFonts w:cs="Times New Roman"/>
              </w:rPr>
            </w:pPr>
            <w:r>
              <w:rPr>
                <w:rFonts w:cs="Times New Roman"/>
                <w:szCs w:val="28"/>
              </w:rPr>
              <w:t>Т.Р. Жангиров</w:t>
            </w:r>
          </w:p>
        </w:tc>
      </w:tr>
      <w:tr>
        <w:trPr>
          <w:trHeight w:val="168" w:hRule="atLeast"/>
        </w:trPr>
        <w:tc>
          <w:tcPr>
            <w:tcW w:w="2297" w:type="dxa"/>
            <w:tcBorders/>
            <w:vAlign w:val="bottom"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1783" w:type="dxa"/>
            <w:tcBorders/>
          </w:tcPr>
          <w:p>
            <w:pPr>
              <w:pStyle w:val="Normal"/>
              <w:jc w:val="center"/>
              <w:rPr>
                <w:rFonts w:cs="Times New Roman"/>
                <w:i/>
                <w:vertAlign w:val="superscript"/>
              </w:rPr>
            </w:pPr>
            <w:r>
              <w:rPr>
                <w:rFonts w:cs="Times New Roman"/>
                <w:i/>
                <w:vertAlign w:val="superscript"/>
              </w:rPr>
            </w:r>
          </w:p>
        </w:tc>
        <w:tc>
          <w:tcPr>
            <w:tcW w:w="2470" w:type="dxa"/>
            <w:tcBorders>
              <w:top w:val="single" w:sz="4" w:space="0" w:color="000000"/>
            </w:tcBorders>
          </w:tcPr>
          <w:p>
            <w:pPr>
              <w:pStyle w:val="Normal"/>
              <w:jc w:val="center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5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</w:r>
          </w:p>
        </w:tc>
        <w:tc>
          <w:tcPr>
            <w:tcW w:w="2549" w:type="dxa"/>
            <w:tcBorders/>
          </w:tcPr>
          <w:p>
            <w:pPr>
              <w:pStyle w:val="Normal"/>
              <w:snapToGrid w:val="false"/>
              <w:rPr>
                <w:rFonts w:cs="Times New Roman"/>
                <w:i/>
                <w:sz w:val="16"/>
              </w:rPr>
            </w:pPr>
            <w:r>
              <w:rPr>
                <w:rFonts w:cs="Times New Roman"/>
                <w:i/>
                <w:sz w:val="16"/>
              </w:rPr>
            </w:r>
          </w:p>
        </w:tc>
      </w:tr>
    </w:tbl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</w:r>
    </w:p>
    <w:p>
      <w:pPr>
        <w:pStyle w:val="Normal"/>
        <w:spacing w:lineRule="auto" w:line="336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>
      <w:pPr>
        <w:pStyle w:val="Normal"/>
        <w:spacing w:lineRule="auto" w:line="336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szCs w:val="28"/>
        </w:rPr>
        <w:t>2026</w:t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ЗАДАНИЕ</w:t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НА УЧЕБНУЮ ПРАКТИКУ</w:t>
      </w:r>
    </w:p>
    <w:tbl>
      <w:tblPr>
        <w:tblW w:w="9354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046"/>
        <w:gridCol w:w="2311"/>
        <w:gridCol w:w="2997"/>
      </w:tblGrid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 xml:space="preserve">Студент: </w:t>
            </w:r>
            <w:r>
              <w:rPr>
                <w:rFonts w:cs="Times New Roman"/>
                <w:color w:val="FF0000"/>
                <w:szCs w:val="28"/>
              </w:rPr>
              <w:t>И.И. Иванов</w:t>
            </w:r>
          </w:p>
        </w:tc>
      </w:tr>
      <w:tr>
        <w:trPr/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>
        <w:trPr>
          <w:trHeight w:val="100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>
        <w:trPr>
          <w:trHeight w:val="5670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>
            <w:pPr>
              <w:pStyle w:val="Normal"/>
              <w:spacing w:lineRule="auto" w:line="360"/>
              <w:rPr>
                <w:rFonts w:cs="Times New Roman"/>
                <w:szCs w:val="28"/>
              </w:rPr>
            </w:pPr>
            <w:r>
              <w:rPr>
                <w:rFonts w:cs="Times New Roman"/>
              </w:rPr>
              <w:t>Поиск аппроксимирующей функции, приближение функций, нахождение экстремумов, решение оптимизационных задач с использованием генетических алгоритмов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>
        <w:trPr>
          <w:trHeight w:val="549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>
        <w:trPr>
          <w:trHeight w:val="483" w:hRule="atLeast"/>
        </w:trPr>
        <w:tc>
          <w:tcPr>
            <w:tcW w:w="9354" w:type="dxa"/>
            <w:gridSpan w:val="3"/>
            <w:tcBorders/>
          </w:tcPr>
          <w:p>
            <w:pPr>
              <w:pStyle w:val="Normal"/>
              <w:spacing w:lineRule="auto" w:line="360"/>
              <w:rPr>
                <w:szCs w:val="28"/>
              </w:rPr>
            </w:pPr>
            <w:r>
              <w:rPr>
                <w:szCs w:val="28"/>
              </w:rPr>
            </w:r>
          </w:p>
        </w:tc>
      </w:tr>
      <w:tr>
        <w:trPr>
          <w:trHeight w:val="614" w:hRule="atLeast"/>
        </w:trPr>
        <w:tc>
          <w:tcPr>
            <w:tcW w:w="4046" w:type="dxa"/>
            <w:tcBorders/>
            <w:vAlign w:val="bottom"/>
          </w:tcPr>
          <w:p>
            <w:pPr>
              <w:pStyle w:val="Normal"/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7" w:type="dxa"/>
            <w:tcBorders/>
            <w:vAlign w:val="bottom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cs="Times New Roman"/>
                <w:color w:val="FF0000"/>
                <w:szCs w:val="28"/>
              </w:rPr>
              <w:t xml:space="preserve">И.И. Иванов </w:t>
            </w:r>
          </w:p>
        </w:tc>
      </w:tr>
      <w:tr>
        <w:trPr>
          <w:trHeight w:val="614" w:hRule="atLeast"/>
        </w:trPr>
        <w:tc>
          <w:tcPr>
            <w:tcW w:w="4046" w:type="dxa"/>
            <w:tcBorders/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2997" w:type="dxa"/>
            <w:tcBorders/>
            <w:vAlign w:val="bottom"/>
          </w:tcPr>
          <w:p>
            <w:pPr>
              <w:pStyle w:val="Normal"/>
              <w:jc w:val="center"/>
              <w:rPr>
                <w:szCs w:val="28"/>
              </w:rPr>
            </w:pPr>
            <w:r>
              <w:rPr>
                <w:rFonts w:cs="Times New Roman"/>
                <w:szCs w:val="28"/>
              </w:rPr>
              <w:t xml:space="preserve">Т.Р. Жангиров </w:t>
            </w:r>
          </w:p>
        </w:tc>
      </w:tr>
    </w:tbl>
    <w:p>
      <w:pPr>
        <w:pStyle w:val="BodyText"/>
        <w:ind w:hanging="0"/>
        <w:rPr/>
      </w:pPr>
      <w:r>
        <w:rPr/>
      </w:r>
    </w:p>
    <w:p>
      <w:pPr>
        <w:pStyle w:val="BodyText"/>
        <w:rPr/>
      </w:pPr>
      <w:r>
        <w:rPr/>
      </w:r>
      <w:r>
        <w:br w:type="page"/>
      </w:r>
    </w:p>
    <w:p>
      <w:pPr>
        <w:pStyle w:val="BodyText"/>
        <w:spacing w:before="0" w:after="0"/>
        <w:ind w:hanging="0"/>
        <w:jc w:val="center"/>
        <w:rPr>
          <w:b/>
          <w:bCs/>
        </w:rPr>
      </w:pPr>
      <w:r>
        <w:rPr>
          <w:b/>
          <w:bCs/>
        </w:rPr>
        <w:t>АННОТАЦИЯ</w:t>
      </w:r>
    </w:p>
    <w:p>
      <w:pPr>
        <w:pStyle w:val="BodyText"/>
        <w:rPr/>
      </w:pPr>
      <w:r>
        <w:rPr/>
        <w:t>Краткое изложение содержания отчёта.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ind w:hanging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>
      <w:pPr>
        <w:pStyle w:val="BodyText"/>
        <w:rPr/>
      </w:pPr>
      <w:r>
        <w:rPr/>
        <w:t>Аннотация на английском языке.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rFonts w:cs="Times New Roman"/>
          <w:b/>
        </w:rPr>
      </w:pPr>
      <w:r>
        <w:rPr>
          <w:rFonts w:cs="Times New Roman"/>
          <w:b/>
        </w:rPr>
        <w:t>СОДЕРЖАНИЕ</w:t>
      </w:r>
    </w:p>
    <w:p>
      <w:pPr>
        <w:pStyle w:val="BodyText"/>
        <w:rPr/>
      </w:pPr>
      <w:r>
        <w:rPr/>
        <w:t>Для составления Содержания удобно использовать автоматически собираемое Оглавление — если вы корректно использовали соответствующие стили заголовков (согласно данному шаблону), то в Содержании автоматически войдут нужные разделы с номерами страниц (разделы Задание, Календарный план, Реферат, Abstract в Содержании не указываются).</w:t>
      </w:r>
    </w:p>
    <w:p>
      <w:pPr>
        <w:pStyle w:val="BodyText"/>
        <w:rPr/>
      </w:pPr>
      <w:r>
        <w:rPr/>
        <w:t>Для заголовков первого уровня (названия глав) используйте стиль «Заголовок 2», для разделов — «Заголовок 3», для подразделов следующих уровней — «Заголовок 4».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vanish w:val="false"/>
              <w:webHidden/>
            </w:rPr>
            <w:instrText xml:space="preserve"> TOC \z \o "1-9" \u \t "heading 2,1,heading 3,2" \h</w:instrText>
          </w:r>
          <w:r>
            <w:rPr>
              <w:rStyle w:val="IndexLink"/>
              <w:vanish w:val="false"/>
              <w:webHidden/>
            </w:rPr>
            <w:fldChar w:fldCharType="separate"/>
          </w:r>
          <w:hyperlink w:anchor="_Toc230206144">
            <w:r>
              <w:rPr>
                <w:rStyle w:val="IndexLink"/>
                <w:vanish w:val="false"/>
                <w:webHidden/>
              </w:rPr>
              <w:t>ВВЕДЕНИЕ (заголовок второго уровня)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 ПОСТАНОВКА ЗАДАЧИ (заголовок второго уровня)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1.1 Предметная область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1.2 Задачи практики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8">
            <w:r>
              <w:rPr>
                <w:rStyle w:val="IndexLink"/>
                <w:rFonts w:cs="Times New Roman"/>
                <w:vanish w:val="false"/>
                <w:webHidden/>
              </w:rPr>
              <w:t>1.3 Третий раздел первой главы (заголовок третьего уровня)</w:t>
            </w:r>
            <w:r>
              <w:rPr>
                <w:rStyle w:val="IndexLink"/>
                <w:vanish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4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_Toc230206149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 РЕЗУЛЬТАТЫ РАБОТЫ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2.1. Формулировка задачи 1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2.2. Формулировка задачи 2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2.3. Формулировка задачи 3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3 ИСПОЛЬЗУЕМЫЕ ТЕХНОЛОГИИ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4 ОТЗЫВ РУКОВОДИТЕЛЯ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ЗАКЛЮЧЕНИЕ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СПИСОК ИСПОЛЬЗОВАННЫХ ИСТОЧНИКОВ (заголовок второго уровня)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ascii="Calibri" w:hAnsi="Calibri" w:eastAsia="" w:cs="" w:asciiTheme="minorHAnsi" w:cstheme="minorBidi" w:eastAsiaTheme="minorEastAsia" w:hAnsiTheme="minorHAnsi"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020615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_Toc230206157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  <w:webHidden/>
              </w:rPr>
              <w:t>ПРИЛОЖЕНИЕ А (заголовок второго уровня)</w:t>
              <w:tab/>
              <w:t>14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vanish w:val="false"/>
            </w:rPr>
            <w:fldChar w:fldCharType="end"/>
          </w:r>
        </w:p>
      </w:sdtContent>
    </w:sdt>
    <w:p>
      <w:pPr>
        <w:pStyle w:val="TOC1"/>
        <w:rPr/>
      </w:pPr>
      <w:r>
        <w:rPr/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0" w:name="_Toc230206144"/>
      <w:r>
        <w:rPr>
          <w:rFonts w:cs="Times New Roman"/>
        </w:rPr>
        <w:t>ВВЕДЕНИЕ</w:t>
      </w:r>
      <w:bookmarkEnd w:id="0"/>
    </w:p>
    <w:p>
      <w:pPr>
        <w:pStyle w:val="BodyText"/>
        <w:rPr/>
      </w:pPr>
      <w:bookmarkStart w:id="1" w:name="_Toc73173348"/>
      <w:r>
        <w:rPr/>
        <w:t>Предметной областью данной практики являются методы оптимизации вычислений и эвристические алгоритмы поиска решений. Рассматривается классическая задача минимизации вычислительных затрат, имеющая прикладное значение в различных сферах: от обработки данных до численного моделирования. Особое внимание уделяется генетическим алгоритмам как инструменту решения дискретных оптимизационных задач, где пространство возможных решений велико, а применение точных методов затруднено или нецелесообразно.</w:t>
      </w:r>
    </w:p>
    <w:p>
      <w:pPr>
        <w:pStyle w:val="BodyText"/>
        <w:rPr/>
      </w:pPr>
      <w:r>
        <w:rPr/>
        <w:t>Цель практики — закрепление навыков проектирования и реализации программных систем с графическим интерфейсом, а также освоение принципов работы эволюционных алгоритмов через их практическое применение к задаче поиска оптимальной структуры вычислений.</w:t>
      </w:r>
    </w:p>
    <w:p>
      <w:pPr>
        <w:pStyle w:val="BodyText"/>
        <w:rPr>
          <w:b/>
          <w:bCs/>
          <w:kern w:val="2"/>
        </w:rPr>
      </w:pPr>
      <w:r>
        <w:rPr/>
        <w:t>Задачи практики включают изучение теоретического материала, самостоятельную реализацию алгоритмического ядра и визуализации, организацию пользовательского интерфейса для управления ходом вычислений, а также обеспечение возможности анализа и сравнения получаемых результатов. Отдельное внимание уделяется средствам взаимодействия с данными и документированию выполненной работы.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2" w:name="_Toc230206145"/>
      <w:r>
        <w:rPr/>
        <w:t xml:space="preserve">1 </w:t>
      </w:r>
      <w:bookmarkEnd w:id="1"/>
      <w:r>
        <w:rPr/>
        <w:t>ПОСТАНОВКА ЗАДАЧИ</w:t>
      </w:r>
      <w:bookmarkEnd w:id="2"/>
    </w:p>
    <w:p>
      <w:pPr>
        <w:pStyle w:val="Heading3"/>
        <w:numPr>
          <w:ilvl w:val="2"/>
          <w:numId w:val="2"/>
        </w:numPr>
        <w:rPr/>
      </w:pPr>
      <w:bookmarkStart w:id="3" w:name="_Toc73173349"/>
      <w:bookmarkStart w:id="4" w:name="_Toc230206146"/>
      <w:r>
        <w:rPr/>
        <w:t>1.1 Предметная область</w:t>
      </w:r>
      <w:bookmarkEnd w:id="4"/>
    </w:p>
    <w:p>
      <w:pPr>
        <w:pStyle w:val="BodyText"/>
        <w:rPr>
          <w:rFonts w:cs="Cambria"/>
          <w:b/>
          <w:bCs/>
          <w:kern w:val="2"/>
        </w:rPr>
      </w:pPr>
      <w:bookmarkStart w:id="5" w:name="_Toc230206147"/>
      <w:r>
        <w:rPr/>
        <w:t>Задача о порядке перемножения матриц актуальна для областей, требующих высокопроизводительных вычислений: машинное обучение, компьютерная графика, САПР, оптимизация запросов в базах данных. Различные варианты расстановки скобок дают одинаковый результат, но количество скалярных операций может отличаться на порядки. Классический метод решения — динамическое программирование. Использование генетического алгоритма в данной работе позволяет исследовать поведение эвристических методов на дискретных оптимизационных задачах, визуализировать процесс эволюции популяции решений и получить навыки реализации алгоритмов без готовых библиотек.</w:t>
      </w:r>
    </w:p>
    <w:p>
      <w:pPr>
        <w:pStyle w:val="Heading3"/>
        <w:numPr>
          <w:ilvl w:val="2"/>
          <w:numId w:val="2"/>
        </w:numPr>
        <w:rPr/>
      </w:pPr>
      <w:r>
        <w:rPr/>
        <w:t>1.2 Задачи практики</w:t>
      </w:r>
      <w:bookmarkEnd w:id="5"/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Изучить математическую постановку задачи перемножения матриц и принципы работы генетических алгоритмов.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Выбрать язык программирования, сформировать бригаду, распределить роли.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вычислительное ядро (функция качества, кодирование решений, операторы селекции, кроссовера и мутации) без использования готовых библиотек ГА.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Разработать GUI с возможностью ввода данных вручную, загрузки из файла и случайной генерации.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Обеспечить настройку параметров алгоритма пользователем.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пошаговую визуализацию: текущая аппроксимация, лучшее решение, график функции качества от поколения.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Добавить возможность пропуска шагов и перехода к конечному результату.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Реализовать откат на несколько шагов назад (доп. баллы).</w:t>
      </w:r>
    </w:p>
    <w:p>
      <w:pPr>
        <w:pStyle w:val="BodyText"/>
        <w:numPr>
          <w:ilvl w:val="0"/>
          <w:numId w:val="6"/>
        </w:numPr>
        <w:ind w:firstLine="709" w:start="0"/>
        <w:rPr/>
      </w:pPr>
      <w:r>
        <w:rPr/>
        <w:t>Провести тестирование, сравнение с точным решением, подготовить отчёт.</w:t>
      </w:r>
    </w:p>
    <w:p>
      <w:pPr>
        <w:pStyle w:val="Heading3"/>
        <w:tabs>
          <w:tab w:val="clear" w:pos="0"/>
        </w:tabs>
        <w:ind w:start="0"/>
        <w:rPr>
          <w:rFonts w:cs="Times New Roman"/>
        </w:rPr>
      </w:pPr>
      <w:bookmarkStart w:id="6" w:name="_Toc230206148"/>
      <w:r>
        <w:rPr>
          <w:rFonts w:cs="Times New Roman"/>
        </w:rPr>
        <w:t xml:space="preserve">1.3 </w:t>
      </w:r>
      <w:bookmarkEnd w:id="3"/>
      <w:r>
        <w:rPr>
          <w:rFonts w:cs="Times New Roman"/>
        </w:rPr>
        <w:t xml:space="preserve">Третий раздел первой главы </w:t>
      </w:r>
      <w:r>
        <w:rPr>
          <w:rFonts w:cs="Times New Roman"/>
          <w:color w:val="EE0000"/>
        </w:rPr>
        <w:t>(заголовок третьего уровня)</w:t>
      </w:r>
      <w:bookmarkStart w:id="7" w:name="_Toc73173350"/>
      <w:bookmarkEnd w:id="6"/>
    </w:p>
    <w:p>
      <w:pPr>
        <w:pStyle w:val="Heading4"/>
        <w:numPr>
          <w:ilvl w:val="2"/>
          <w:numId w:val="2"/>
        </w:numPr>
        <w:ind w:start="708"/>
        <w:rPr>
          <w:rFonts w:cs="Times New Roman"/>
        </w:rPr>
      </w:pPr>
      <w:r>
        <w:rPr>
          <w:rFonts w:cs="Times New Roman"/>
        </w:rPr>
        <w:t xml:space="preserve">1.3.1 </w:t>
      </w:r>
      <w:bookmarkEnd w:id="7"/>
      <w:r>
        <w:rPr>
          <w:rFonts w:cs="Times New Roman"/>
        </w:rPr>
        <w:t xml:space="preserve">Первый подраздел </w:t>
      </w:r>
      <w:r>
        <w:rPr>
          <w:rFonts w:cs="Times New Roman"/>
          <w:color w:val="EE0000"/>
        </w:rPr>
        <w:t>(заголовок четвертого уровня)</w:t>
      </w:r>
    </w:p>
    <w:p>
      <w:pPr>
        <w:pStyle w:val="BodyText"/>
        <w:rPr/>
      </w:pPr>
      <w:r>
        <w:rPr/>
        <w:t>Пример основного текста.</w:t>
      </w:r>
    </w:p>
    <w:p>
      <w:pPr>
        <w:pStyle w:val="BodyText"/>
        <w:rPr/>
      </w:pPr>
      <w:r>
        <w:rPr/>
        <w:t>Списки/перечисления должны иметь однородные и последовательные маркеры и отступы: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Каждый пункт списка размещается с абзацным отступом (1.25 см)</w:t>
      </w:r>
    </w:p>
    <w:p>
      <w:pPr>
        <w:pStyle w:val="BodyText"/>
        <w:numPr>
          <w:ilvl w:val="1"/>
          <w:numId w:val="5"/>
        </w:numPr>
        <w:ind w:hanging="0" w:start="1418"/>
        <w:rPr/>
      </w:pPr>
      <w:r>
        <w:rPr/>
        <w:t>Для следующих уровней списка отступ увеличивается на абзацный отступ (для уровня 2 - 2.5 см, уровня 3 - 3.75 см)</w:t>
      </w:r>
    </w:p>
    <w:p>
      <w:pPr>
        <w:pStyle w:val="BodyText"/>
        <w:numPr>
          <w:ilvl w:val="2"/>
          <w:numId w:val="5"/>
        </w:numPr>
        <w:ind w:hanging="0" w:start="2126"/>
        <w:rPr/>
      </w:pPr>
      <w:r>
        <w:rPr/>
        <w:t>Не рекомендуется использовать списки большой вложенности (глубиной более 3 - например, когда текст пунктов начинается с середины страницы)</w:t>
      </w:r>
    </w:p>
    <w:p>
      <w:pPr>
        <w:pStyle w:val="BodyText"/>
        <w:rPr/>
      </w:pPr>
      <w:r>
        <w:rPr/>
        <w:t>Рисунки и таблицы должны быть расположены непосредственно после текста, где они упоминаются впервые или на следующей странице, нумеруются арабскими цифрами сквозной нумерацией. На все рисунки и таблицы должны быть ссылки (</w:t>
      </w:r>
      <w:r>
        <w:rPr>
          <w:color w:val="EE0000"/>
        </w:rPr>
        <w:t>рис. 1</w:t>
      </w:r>
      <w:r>
        <w:rPr/>
        <w:t>) и (</w:t>
      </w:r>
      <w:r>
        <w:rPr>
          <w:color w:val="EE0000"/>
        </w:rPr>
        <w:t>таблица 1</w:t>
      </w:r>
      <w:r>
        <w:rPr/>
        <w:t>).</w:t>
      </w:r>
    </w:p>
    <w:p>
      <w:pPr>
        <w:pStyle w:val="BodyText"/>
        <w:rPr/>
      </w:pPr>
      <w:r>
        <w:rPr/>
      </w:r>
    </w:p>
    <w:p>
      <w:pPr>
        <w:pStyle w:val="Style19"/>
        <w:rPr>
          <w:color w:val="C00000"/>
        </w:rPr>
      </w:pPr>
      <w:r>
        <w:rPr/>
        <w:drawing>
          <wp:inline distT="0" distB="0" distL="0" distR="0">
            <wp:extent cx="2621915" cy="2611120"/>
            <wp:effectExtent l="0" t="0" r="0" b="0"/>
            <wp:docPr id="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915" cy="2611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– Пример рисунка</w:t>
      </w:r>
    </w:p>
    <w:p>
      <w:pPr>
        <w:pStyle w:val="BodyText"/>
        <w:rPr/>
      </w:pPr>
      <w:r>
        <w:rPr/>
        <w:t>Таблицу с большим количеством строк допускается переносить на другую страницу, при этом слово «Таблица», ее номер и наименование указывают один раз слева над первой частью таблицы, а над другими частями также слева пишут слова «Продолжение таблицы» и указывают номер таблицы.</w:t>
      </w:r>
    </w:p>
    <w:p>
      <w:pPr>
        <w:pStyle w:val="Style18"/>
        <w:rPr/>
      </w:pPr>
      <w:r>
        <w:rPr/>
        <w:t>Таблица 1 – Пример таблицы</w:t>
      </w:r>
    </w:p>
    <w:tbl>
      <w:tblPr>
        <w:tblStyle w:val="af6"/>
        <w:tblW w:w="844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872"/>
        <w:gridCol w:w="2868"/>
        <w:gridCol w:w="1702"/>
      </w:tblGrid>
      <w:tr>
        <w:trPr>
          <w:tblHeader w:val="true"/>
        </w:trPr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Единица измерения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Значение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Время работы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сек.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159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2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3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4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5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6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7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8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9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10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 11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</w:t>
            </w:r>
          </w:p>
        </w:tc>
      </w:tr>
    </w:tbl>
    <w:p>
      <w:pPr>
        <w:pStyle w:val="Style18"/>
        <w:spacing w:before="0" w:after="0"/>
        <w:rPr/>
      </w:pPr>
      <w:r>
        <w:br w:type="page"/>
      </w:r>
      <w:r>
        <w:rPr/>
        <w:t>Продолжение таблицы 1</w:t>
      </w:r>
    </w:p>
    <w:tbl>
      <w:tblPr>
        <w:tblStyle w:val="af6"/>
        <w:tblW w:w="8442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872"/>
        <w:gridCol w:w="2868"/>
        <w:gridCol w:w="1702"/>
      </w:tblGrid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Показатель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Единица измерения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Значение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Нагрузка на ЦПУ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процент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95</w:t>
            </w:r>
          </w:p>
        </w:tc>
      </w:tr>
      <w:tr>
        <w:trPr/>
        <w:tc>
          <w:tcPr>
            <w:tcW w:w="387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Стоимость работ</w:t>
            </w:r>
          </w:p>
        </w:tc>
        <w:tc>
          <w:tcPr>
            <w:tcW w:w="2868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тыс. руб.</w:t>
            </w:r>
          </w:p>
        </w:tc>
        <w:tc>
          <w:tcPr>
            <w:tcW w:w="1702" w:type="dxa"/>
            <w:tcBorders/>
          </w:tcPr>
          <w:p>
            <w:pPr>
              <w:pStyle w:val="Style17"/>
              <w:widowControl/>
              <w:suppressAutoHyphens w:val="true"/>
              <w:spacing w:before="0" w:after="0"/>
              <w:rPr>
                <w:rFonts w:eastAsia="Noto Serif CJK SC"/>
                <w:kern w:val="0"/>
                <w:szCs w:val="20"/>
                <w:lang w:val="ru-RU" w:eastAsia="zh-CN" w:bidi="hi-IN"/>
              </w:rPr>
            </w:pPr>
            <w:r>
              <w:rPr>
                <w:rFonts w:eastAsia="Noto Serif CJK SC"/>
                <w:kern w:val="0"/>
                <w:szCs w:val="20"/>
                <w:lang w:val="ru-RU" w:eastAsia="zh-CN" w:bidi="hi-IN"/>
              </w:rPr>
              <w:t>100</w:t>
            </w:r>
          </w:p>
        </w:tc>
      </w:tr>
    </w:tbl>
    <w:p>
      <w:pPr>
        <w:pStyle w:val="BodyText"/>
        <w:ind w:hanging="0"/>
        <w:rPr/>
      </w:pPr>
      <w:r>
        <w:rPr/>
        <w:tab/>
        <w:t>При большом объеме данных в таблице допускается использование размера шрифта 12. Таблицы, занимающие больше 1 страницы, рекомендуется выносить в приложение.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/>
      </w:pPr>
      <w:bookmarkStart w:id="8" w:name="_Toc230206149"/>
      <w:r>
        <w:rPr/>
        <w:t>2 РЕЗУЛЬТАТЫ РАБОТЫ</w:t>
      </w:r>
      <w:bookmarkEnd w:id="8"/>
      <w:r>
        <w:rPr/>
        <w:t xml:space="preserve"> </w:t>
      </w:r>
    </w:p>
    <w:p>
      <w:pPr>
        <w:pStyle w:val="BodyText"/>
        <w:rPr/>
      </w:pPr>
      <w:r>
        <w:rPr/>
        <w:t xml:space="preserve">Данная глава должна содержать описание процесса решения и результаты по каждой задаче практики из предыдущего раздела. По приведённому тексту читатель должен понять, </w:t>
      </w:r>
      <w:r>
        <w:rPr>
          <w:i/>
          <w:iCs/>
        </w:rPr>
        <w:t>что</w:t>
      </w:r>
      <w:r>
        <w:rPr/>
        <w:t xml:space="preserve"> и </w:t>
      </w:r>
      <w:r>
        <w:rPr>
          <w:i/>
          <w:iCs/>
        </w:rPr>
        <w:t>как</w:t>
      </w:r>
      <w:r>
        <w:rPr/>
        <w:t xml:space="preserve"> было сделано для выполнения поставленных задач.</w:t>
      </w:r>
    </w:p>
    <w:p>
      <w:pPr>
        <w:pStyle w:val="BodyText"/>
        <w:rPr/>
      </w:pPr>
      <w:r>
        <w:rPr/>
        <w:t>Повествование ведется обезличенно.</w:t>
      </w:r>
    </w:p>
    <w:p>
      <w:pPr>
        <w:pStyle w:val="Heading3"/>
        <w:numPr>
          <w:ilvl w:val="2"/>
          <w:numId w:val="2"/>
        </w:numPr>
        <w:rPr/>
      </w:pPr>
      <w:bookmarkStart w:id="9" w:name="_Toc230206150"/>
      <w:r>
        <w:rPr/>
        <w:t>2.1. Формулировка задачи 1</w:t>
      </w:r>
      <w:bookmarkEnd w:id="9"/>
    </w:p>
    <w:p>
      <w:pPr>
        <w:pStyle w:val="BodyText"/>
        <w:rPr/>
      </w:pPr>
      <w:r>
        <w:rPr/>
        <w:t>Описание процесса решения задачи №1, реализованные или использованные классы / модули / сервисы и т.д.</w:t>
      </w:r>
    </w:p>
    <w:p>
      <w:pPr>
        <w:pStyle w:val="Heading3"/>
        <w:numPr>
          <w:ilvl w:val="2"/>
          <w:numId w:val="2"/>
        </w:numPr>
        <w:rPr/>
      </w:pPr>
      <w:bookmarkStart w:id="10" w:name="_Toc230206151"/>
      <w:r>
        <w:rPr/>
        <w:t xml:space="preserve">2.2. </w:t>
      </w:r>
      <w:bookmarkEnd w:id="10"/>
      <w:r>
        <w:rPr/>
        <w:t>Генетический алгоритм</w:t>
      </w:r>
    </w:p>
    <w:p>
      <w:pPr>
        <w:pStyle w:val="BodyText"/>
        <w:rPr/>
      </w:pPr>
      <w:bookmarkStart w:id="11" w:name="_Toc230206152"/>
      <w:r>
        <w:rPr/>
        <w:t>Генетический алгоритм решает задачу минимизации числа скалярных умножений при перемножении цепочки матриц. Решение (особь) кодируется как список целых чисел — на каждом шаге умножения ген указывает индекс матрицы в текущем списке размерностей, которая будет перемножена со следующей. Длина хромосомы равна </w:t>
      </w:r>
      <w:r>
        <w:rPr>
          <w:rStyle w:val="katex-mathml"/>
          <w:color w:val="F9FAFB"/>
          <w:sz w:val="29"/>
          <w:szCs w:val="29"/>
        </w:rPr>
        <w:t>N−2</w:t>
      </w:r>
      <w:r>
        <w:rPr>
          <w:rStyle w:val="mord"/>
          <w:rFonts w:ascii="KaTeX_Math" w:hAnsi="KaTeX_Math"/>
          <w:i/>
          <w:iCs/>
          <w:color w:val="F9FAFB"/>
          <w:sz w:val="29"/>
          <w:szCs w:val="29"/>
        </w:rPr>
        <w:t>N</w:t>
      </w:r>
      <w:r>
        <w:rPr>
          <w:rStyle w:val="mbin"/>
          <w:color w:val="F9FAFB"/>
          <w:sz w:val="29"/>
          <w:szCs w:val="29"/>
        </w:rPr>
        <w:t>−</w:t>
      </w:r>
      <w:r>
        <w:rPr>
          <w:rStyle w:val="mord"/>
          <w:color w:val="F9FAFB"/>
          <w:sz w:val="29"/>
          <w:szCs w:val="29"/>
        </w:rPr>
        <w:t>2</w:t>
      </w:r>
      <w:r>
        <w:rPr/>
        <w:t>, где </w:t>
      </w:r>
      <w:r>
        <w:rPr>
          <w:rStyle w:val="katex-mathml"/>
          <w:color w:val="F9FAFB"/>
          <w:sz w:val="29"/>
          <w:szCs w:val="29"/>
        </w:rPr>
        <w:t>N</w:t>
      </w:r>
      <w:r>
        <w:rPr>
          <w:rStyle w:val="mord"/>
          <w:rFonts w:ascii="KaTeX_Math" w:hAnsi="KaTeX_Math"/>
          <w:i/>
          <w:iCs/>
          <w:color w:val="F9FAFB"/>
          <w:sz w:val="29"/>
          <w:szCs w:val="29"/>
        </w:rPr>
        <w:t>N</w:t>
      </w:r>
      <w:r>
        <w:rPr/>
        <w:t> — количество матриц. Такой способ гарантирует корректность любого случайно сгенерированного решения без дополнительной валидации.</w:t>
      </w:r>
    </w:p>
    <w:p>
      <w:pPr>
        <w:pStyle w:val="Heading4"/>
        <w:rPr/>
      </w:pPr>
      <w:r>
        <w:rPr/>
        <w:t>Основные компоненты алгоритма: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generate_individual — создаёт случайную особь, где каждый ген gi лежит в диапазоне [0,  len−3−i].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calculate_cost — вычисляет функцию приспособленности: последовательно перемножает матрицы согласно порядку, заданному хромосомой, и суммирует затраты pa​</w:t>
      </w:r>
      <w:r>
        <w:rPr>
          <w:rFonts w:cs="Cambria Math" w:ascii="Cambria Math" w:hAnsi="Cambria Math"/>
        </w:rPr>
        <w:t>⋅</w:t>
      </w:r>
      <w:r>
        <w:rPr/>
        <w:t>pb​</w:t>
      </w:r>
      <w:r>
        <w:rPr>
          <w:rFonts w:cs="Cambria Math" w:ascii="Cambria Math" w:hAnsi="Cambria Math"/>
        </w:rPr>
        <w:t>⋅</w:t>
      </w:r>
      <w:r>
        <w:rPr/>
        <w:t>pc​ на каждом шаге.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calculate_min_cost — эталонный метод динамического программирования для верификации, возвращает глобальный минимум.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tournament — турнирная селекция: из трёх случайно выбранных особей побеждает особь с наименьшей стоимостью.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crossover — одноточечное скрещивание, порождающее двух детей; корректность потомков обеспечивается одинаковой структурой допустимых значений генов на соответствующих позициях.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mutate — независимая мутация каждого гена с вероятностью pm​, заменяющая ген на случайное допустимое значение.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selection — формирует новое поколение: попарно отбирает родителей, с вероятностью pc​ скрещивает, применяет мутацию.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genetic_algorithm — управляющая функция, принимает параметры (размер популяции, число поколений, вероятности операторов, начальную популяцию и размерности) и возвращает историю поколений в виде списка GenerationSnapshot вместе с глобальным минимумом.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Датакласс GenerationSnapshot фиксирует состояние популяции на каждом поколении: номер поколения, лучшую и среднюю стоимость, хромосому лучшего решения и полную популяцию (глубокая копия). Эти данные являются связующим звеном между вычислительным ядром и графическим интерфейсом.</w:t>
      </w:r>
    </w:p>
    <w:p>
      <w:pPr>
        <w:pStyle w:val="Heading4"/>
        <w:rPr/>
      </w:pPr>
      <w:r>
        <w:rPr/>
        <w:t>Связь с GUI</w:t>
      </w:r>
    </w:p>
    <w:p>
      <w:pPr>
        <w:pStyle w:val="BodyText"/>
        <w:rPr/>
      </w:pPr>
      <w:r>
        <w:rPr/>
        <w:t xml:space="preserve">Интерфейс получает от пользователя </w:t>
      </w:r>
      <w:r>
        <w:rPr/>
        <w:t xml:space="preserve">два вида </w:t>
      </w:r>
      <w:r>
        <w:rPr/>
        <w:t>входны</w:t>
      </w:r>
      <w:r>
        <w:rPr/>
        <w:t>х</w:t>
      </w:r>
      <w:r>
        <w:rPr/>
        <w:t xml:space="preserve"> параметр</w:t>
      </w:r>
      <w:r>
        <w:rPr/>
        <w:t>ов: 1) размерности матриц заданные вручную(вида rows x cols), 2) путь к файлу, содержащие размерности, 3) Количество случайно заданных матриц. После ввода данные</w:t>
      </w:r>
      <w:r>
        <w:rPr/>
        <w:t xml:space="preserve"> переда</w:t>
      </w:r>
      <w:r>
        <w:rPr/>
        <w:t>ются</w:t>
      </w:r>
      <w:r>
        <w:rPr/>
        <w:t xml:space="preserve"> в genetic_algorithm. Результатом вызова является список снимков поколений.</w:t>
      </w:r>
    </w:p>
    <w:p>
      <w:pPr>
        <w:pStyle w:val="Heading4"/>
        <w:rPr/>
      </w:pPr>
      <w:r>
        <w:rPr/>
        <w:t>GUI использует GenerationSnapshot для: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отображения текущего лучшего решения и его стоимости;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визуализации порядка перемножения (дерево или последовательность скобок);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построения графика изменения лучшей и средней стоимости от поколения;</w:t>
      </w:r>
    </w:p>
    <w:p>
      <w:pPr>
        <w:pStyle w:val="BodyText"/>
        <w:numPr>
          <w:ilvl w:val="0"/>
          <w:numId w:val="5"/>
        </w:numPr>
        <w:ind w:hanging="0" w:start="709"/>
        <w:rPr/>
      </w:pPr>
      <w:r>
        <w:rPr/>
        <w:t>пошаговой навигации по истории (вперёд, назад, переход к последнему шагу).</w:t>
      </w:r>
    </w:p>
    <w:p>
      <w:pPr>
        <w:pStyle w:val="BodyText"/>
        <w:rPr/>
      </w:pPr>
      <w:r>
        <w:rPr/>
        <w:t>Возможность отката на несколько шагов реализуется за счёт сохранения полной популяции в каждом снимке и вызова genetic_algorithm с параметром population, равным сохранённой популяции требуемого поколения. Это позволяет продолжить эволюцию с любой предыдущей точки без пересчёта всей истории.</w:t>
      </w:r>
    </w:p>
    <w:p>
      <w:pPr>
        <w:pStyle w:val="Heading4"/>
        <w:widowControl/>
        <w:suppressAutoHyphens w:val="true"/>
        <w:bidi w:val="0"/>
        <w:spacing w:lineRule="auto" w:line="360" w:before="0" w:after="0"/>
        <w:ind w:start="708"/>
        <w:jc w:val="both"/>
        <w:rPr>
          <w:rFonts w:ascii="Times New Roman" w:hAnsi="Times New Roman" w:cs="Cambria"/>
          <w:b/>
          <w:bCs/>
          <w:kern w:val="2"/>
          <w:sz w:val="28"/>
          <w:szCs w:val="28"/>
        </w:rPr>
      </w:pPr>
      <w:r>
        <w:rPr>
          <w:rFonts w:cs="Cambria"/>
          <w:b/>
          <w:bCs/>
          <w:kern w:val="2"/>
          <w:sz w:val="28"/>
          <w:szCs w:val="28"/>
        </w:rPr>
      </w:r>
    </w:p>
    <w:p>
      <w:pPr>
        <w:pStyle w:val="Heading4"/>
        <w:widowControl/>
        <w:suppressAutoHyphens w:val="true"/>
        <w:bidi w:val="0"/>
        <w:spacing w:lineRule="auto" w:line="360" w:before="0" w:after="0"/>
        <w:ind w:start="708"/>
        <w:jc w:val="both"/>
        <w:rPr>
          <w:rFonts w:ascii="Times New Roman" w:hAnsi="Times New Roman" w:cs="Cambria"/>
          <w:b/>
          <w:bCs/>
          <w:kern w:val="2"/>
          <w:sz w:val="28"/>
          <w:szCs w:val="28"/>
        </w:rPr>
      </w:pPr>
      <w:r>
        <w:rPr>
          <w:rFonts w:cs="Cambria"/>
          <w:b/>
          <w:bCs/>
          <w:kern w:val="2"/>
          <w:sz w:val="28"/>
          <w:szCs w:val="28"/>
        </w:rPr>
        <w:t>GUI</w:t>
      </w:r>
    </w:p>
    <w:p>
      <w:pPr>
        <w:pStyle w:val="BodyText"/>
        <w:rPr/>
      </w:pPr>
      <w:r>
        <w:rPr/>
        <w:t xml:space="preserve">Графический интерфейс реализован с использованием библиотеки PySide6. Навигация между экранами осуществляется с помощью контейнера QStackedWidget, а управление переходами выполняется </w:t>
      </w:r>
      <w:r>
        <w:rPr/>
        <w:t>из MainWindow</w:t>
      </w:r>
      <w:r>
        <w:rPr/>
        <w:t>. Каждая страница представляет собой независимый класс-наследник QWidget, взаимодействующий с остальной системой посредством механизма сигналов и слотов.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Основные компоненты интерфейса:</w:t>
      </w:r>
    </w:p>
    <w:p>
      <w:pPr>
        <w:pStyle w:val="BodyText"/>
        <w:numPr>
          <w:ilvl w:val="0"/>
          <w:numId w:val="7"/>
        </w:numPr>
        <w:rPr/>
      </w:pPr>
      <w:r>
        <w:rPr/>
        <w:t>WelcomePage — стартовая страница приложения. Отображает краткое описание назначения программы и предоставляет пользователю возможность перейти к следующему этапу или завершить работу приложения.</w:t>
      </w:r>
    </w:p>
    <w:p>
      <w:pPr>
        <w:pStyle w:val="BodyText"/>
        <w:numPr>
          <w:ilvl w:val="0"/>
          <w:numId w:val="7"/>
        </w:numPr>
        <w:rPr/>
      </w:pPr>
      <w:r>
        <w:rPr/>
        <w:t>ChoicePage — страница выбора способа получения входных данных. Пользователь может выбрать один из трёх режимов:</w:t>
      </w:r>
    </w:p>
    <w:p>
      <w:pPr>
        <w:pStyle w:val="BodyText"/>
        <w:numPr>
          <w:ilvl w:val="2"/>
          <w:numId w:val="7"/>
        </w:numPr>
        <w:rPr/>
      </w:pPr>
      <w:r>
        <w:rPr/>
        <w:t>случайная генерация размеров матриц;</w:t>
      </w:r>
    </w:p>
    <w:p>
      <w:pPr>
        <w:pStyle w:val="BodyText"/>
        <w:numPr>
          <w:ilvl w:val="2"/>
          <w:numId w:val="7"/>
        </w:numPr>
        <w:rPr/>
      </w:pPr>
      <w:r>
        <w:rPr/>
        <w:t>загрузка данных из текстового файла;</w:t>
      </w:r>
    </w:p>
    <w:p>
      <w:pPr>
        <w:pStyle w:val="BodyText"/>
        <w:numPr>
          <w:ilvl w:val="2"/>
          <w:numId w:val="7"/>
        </w:numPr>
        <w:rPr/>
      </w:pPr>
      <w:r>
        <w:rPr/>
        <w:t>ручной ввод размеров матриц.</w:t>
      </w:r>
    </w:p>
    <w:p>
      <w:pPr>
        <w:pStyle w:val="BodyText"/>
        <w:numPr>
          <w:ilvl w:val="0"/>
          <w:numId w:val="7"/>
        </w:numPr>
        <w:rPr/>
      </w:pPr>
      <w:r>
        <w:rPr/>
        <w:t>ManualInputPage — страница ручного ввода размерностей матриц. Позволяет последовательно добавлять размеры матриц в цепочку, автоматически проверяя корректность их совместимости.. После ввода как минимум двух совместимых матриц становится доступен переход к следующему этапу.</w:t>
      </w:r>
    </w:p>
    <w:p>
      <w:pPr>
        <w:pStyle w:val="BodyText"/>
        <w:numPr>
          <w:ilvl w:val="0"/>
          <w:numId w:val="7"/>
        </w:numPr>
        <w:rPr/>
      </w:pPr>
      <w:r>
        <w:rPr/>
        <w:t>GraphPage — страница визуализации результатов работы алгоритма. Использует библиотеку pyqtgraph для построения графика зависимости лучшего значения функции приспособленности от номера поколения Предусмотрена возможность повторного построения графика без возврата к предыдущим этапам.</w:t>
      </w:r>
    </w:p>
    <w:p>
      <w:pPr>
        <w:pStyle w:val="BodyText"/>
        <w:numPr>
          <w:ilvl w:val="0"/>
          <w:numId w:val="7"/>
        </w:numPr>
        <w:rPr/>
      </w:pPr>
      <w:r>
        <w:rPr/>
        <w:t>MainWindow — главное окно приложения, объединяющее все страницы в единый интерфейс. Выполняет функции координатора работы программы:</w:t>
      </w:r>
    </w:p>
    <w:p>
      <w:pPr>
        <w:pStyle w:val="BodyText"/>
        <w:numPr>
          <w:ilvl w:val="2"/>
          <w:numId w:val="7"/>
        </w:numPr>
        <w:rPr/>
      </w:pPr>
      <w:r>
        <w:rPr/>
        <w:t>создаёт экземпляры всех страниц;</w:t>
      </w:r>
    </w:p>
    <w:p>
      <w:pPr>
        <w:pStyle w:val="BodyText"/>
        <w:numPr>
          <w:ilvl w:val="2"/>
          <w:numId w:val="7"/>
        </w:numPr>
        <w:rPr/>
      </w:pPr>
      <w:r>
        <w:rPr/>
        <w:t>организует их размещение в QStackedWidget;</w:t>
      </w:r>
    </w:p>
    <w:p>
      <w:pPr>
        <w:pStyle w:val="BodyText"/>
        <w:numPr>
          <w:ilvl w:val="2"/>
          <w:numId w:val="7"/>
        </w:numPr>
        <w:rPr/>
      </w:pPr>
      <w:r>
        <w:rPr/>
        <w:t>обрабатывает сигналы пользовательского интерфейса;</w:t>
      </w:r>
    </w:p>
    <w:p>
      <w:pPr>
        <w:pStyle w:val="BodyText"/>
        <w:numPr>
          <w:ilvl w:val="2"/>
          <w:numId w:val="7"/>
        </w:numPr>
        <w:rPr/>
      </w:pPr>
      <w:r>
        <w:rPr/>
        <w:t>определяет дальнейший маршрут выполнения программы в зависимости от выбранного способа ввода данных;</w:t>
      </w:r>
    </w:p>
    <w:p>
      <w:pPr>
        <w:pStyle w:val="BodyText"/>
        <w:numPr>
          <w:ilvl w:val="2"/>
          <w:numId w:val="7"/>
        </w:numPr>
        <w:rPr/>
      </w:pPr>
      <w:r>
        <w:rPr/>
        <w:t>загружает данные из файла, генерирует случайные матрицы либо принимает введённые пользователем размерности;</w:t>
      </w:r>
    </w:p>
    <w:p>
      <w:pPr>
        <w:pStyle w:val="BodyText"/>
        <w:numPr>
          <w:ilvl w:val="2"/>
          <w:numId w:val="7"/>
        </w:numPr>
        <w:rPr/>
      </w:pPr>
      <w:r>
        <w:rPr/>
        <w:t>передаёт подготовленные данные странице визуализации.</w:t>
      </w:r>
    </w:p>
    <w:p>
      <w:pPr>
        <w:pStyle w:val="BodyText"/>
        <w:numPr>
          <w:ilvl w:val="0"/>
          <w:numId w:val="7"/>
        </w:numPr>
        <w:rPr/>
      </w:pPr>
      <w:r>
        <w:rPr/>
        <w:t>Перечисление Choice — определяет возможные варианты источника входных данных (CHOICE_RANDOM, CHOICE_FILE, CHOICE_MANUAL) и используется для унификации обмена информацией между страницами интерфейса и главным окном.</w:t>
      </w:r>
    </w:p>
    <w:p>
      <w:pPr>
        <w:pStyle w:val="BodyText"/>
        <w:rPr/>
      </w:pPr>
      <w:r>
        <w:rPr/>
      </w:r>
    </w:p>
    <w:p>
      <w:pPr>
        <w:pStyle w:val="Heading3"/>
        <w:numPr>
          <w:ilvl w:val="2"/>
          <w:numId w:val="2"/>
        </w:numPr>
        <w:rPr/>
      </w:pPr>
      <w:r>
        <w:rPr/>
        <w:t>2.3. Формулировка задачи 3</w:t>
      </w:r>
      <w:bookmarkEnd w:id="11"/>
    </w:p>
    <w:p>
      <w:pPr>
        <w:pStyle w:val="BodyText"/>
        <w:rPr/>
      </w:pPr>
      <w:r>
        <w:rPr/>
        <w:t>…</w:t>
      </w:r>
    </w:p>
    <w:p>
      <w:pPr>
        <w:pStyle w:val="List"/>
        <w:numPr>
          <w:ilvl w:val="0"/>
          <w:numId w:val="0"/>
        </w:numPr>
        <w:ind w:hanging="0" w:start="1069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12" w:name="_Toc230206153"/>
      <w:r>
        <w:rPr/>
        <w:t>3 ИСПОЛЬЗУЕМЫЕ ТЕХНОЛОГИИ</w:t>
      </w:r>
      <w:bookmarkEnd w:id="12"/>
    </w:p>
    <w:p>
      <w:pPr>
        <w:pStyle w:val="BodyText"/>
        <w:rPr/>
      </w:pPr>
      <w:r>
        <w:rPr/>
        <w:t>В данной главе опишите технологии, которые использовались вами при выполнении задач в рамках практики.</w:t>
      </w:r>
    </w:p>
    <w:p>
      <w:pPr>
        <w:pStyle w:val="BodyText"/>
        <w:rPr/>
      </w:pPr>
      <w:r>
        <w:rPr/>
        <w:t>Это могут быть языки программирования, списки конкретных библиотек / ПО и целей / мест их применения.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rPr/>
      </w:pPr>
      <w:bookmarkStart w:id="13" w:name="_Toc230206154"/>
      <w:r>
        <w:rPr/>
        <w:t>4 ОТЗЫВ РУКОВОДИТЕЛЯ</w:t>
      </w:r>
      <w:bookmarkEnd w:id="13"/>
    </w:p>
    <w:p>
      <w:pPr>
        <w:pStyle w:val="BodyText"/>
        <w:rPr/>
      </w:pPr>
      <w:r>
        <w:rPr/>
        <w:t>Если прохождение практики было по кафедральным темам достаточно добавить формулировку:</w:t>
      </w:r>
    </w:p>
    <w:p>
      <w:pPr>
        <w:pStyle w:val="BodyText"/>
        <w:rPr/>
      </w:pPr>
      <w:r>
        <w:rPr/>
        <w:t>По результатам работы учебная практика оценена на &lt;ваша_оценка&gt;.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>
      <w:pPr>
        <w:pStyle w:val="BodyText"/>
        <w:rPr/>
      </w:pPr>
      <w:r>
        <w:rPr/>
        <w:t>Для прохождения автоматической проверки для скана необходима подпись и ссылка в тексте, т.к. он считается рисунком.</w:t>
      </w:r>
    </w:p>
    <w:p>
      <w:pPr>
        <w:pStyle w:val="BodyText"/>
        <w:rPr/>
      </w:pPr>
      <w:r>
        <w:rPr/>
        <w:t>Отзыв руководителя с оценкой (см. рис. Х).</w:t>
      </w:r>
    </w:p>
    <w:p>
      <w:pPr>
        <w:pStyle w:val="BodyText"/>
        <w:ind w:hanging="0"/>
        <w:jc w:val="center"/>
        <w:rPr/>
      </w:pPr>
      <w:r>
        <w:rPr/>
        <w:drawing>
          <wp:inline distT="0" distB="0" distL="0" distR="0">
            <wp:extent cx="3568065" cy="5041900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8065" cy="5041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9"/>
        <w:rPr>
          <w:rFonts w:cs="Cambria"/>
          <w:b/>
          <w:bCs/>
          <w:caps/>
          <w:kern w:val="2"/>
          <w:highlight w:val="lightGray"/>
        </w:rPr>
      </w:pPr>
      <w:r>
        <w:rPr/>
        <w:t xml:space="preserve">Рисунок </w:t>
      </w:r>
      <w:r>
        <w:rPr>
          <w:color w:val="EE0000"/>
        </w:rPr>
        <w:t>Х</w:t>
      </w:r>
      <w:r>
        <w:rPr/>
        <w:t xml:space="preserve"> — Отзыв руководителя</w:t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4" w:name="_Toc230206155"/>
      <w:r>
        <w:rPr/>
        <w:t>ЗАКЛЮЧЕНИЕ</w:t>
      </w:r>
      <w:bookmarkEnd w:id="14"/>
    </w:p>
    <w:p>
      <w:pPr>
        <w:pStyle w:val="BodyText"/>
        <w:rPr/>
      </w:pPr>
      <w:r>
        <w:rPr/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>
      <w:pPr>
        <w:pStyle w:val="Normal"/>
        <w:rPr>
          <w:rFonts w:cs="Times New Roman"/>
          <w:szCs w:val="28"/>
        </w:rPr>
      </w:pPr>
      <w:r>
        <w:rPr>
          <w:rFonts w:cs="Times New Roman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5" w:name="_Toc230206156"/>
      <w:bookmarkStart w:id="16" w:name="_Toc73173388"/>
      <w:r>
        <w:rPr>
          <w:rFonts w:cs="Times New Roman"/>
        </w:rPr>
        <w:t>СПИСОК ИСПОЛЬЗОВАННЫХ ИСТОЧНИКОВ</w:t>
      </w:r>
      <w:bookmarkEnd w:id="16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>(заголовок второго уровня)</w:t>
      </w:r>
      <w:bookmarkEnd w:id="15"/>
    </w:p>
    <w:p>
      <w:pPr>
        <w:pStyle w:val="BodyText"/>
        <w:numPr>
          <w:ilvl w:val="0"/>
          <w:numId w:val="3"/>
        </w:numPr>
        <w:rPr/>
      </w:pPr>
      <w:r>
        <w:rPr>
          <w:lang w:val="en-US"/>
        </w:rPr>
        <w:t>The State of the Octoverse [</w:t>
      </w:r>
      <w:r>
        <w:rPr/>
        <w:t>Электронный</w:t>
      </w:r>
      <w:r>
        <w:rPr>
          <w:lang w:val="en-US"/>
        </w:rPr>
        <w:t xml:space="preserve"> </w:t>
      </w:r>
      <w:r>
        <w:rPr/>
        <w:t>ресурс</w:t>
      </w:r>
      <w:r>
        <w:rPr>
          <w:lang w:val="en-US"/>
        </w:rPr>
        <w:t xml:space="preserve">]. </w:t>
      </w:r>
      <w:r>
        <w:rPr/>
        <w:t>URL: https://octoverse.github.com (дата обращения: 28.04.2021).</w:t>
      </w:r>
    </w:p>
    <w:p>
      <w:pPr>
        <w:pStyle w:val="BodyText"/>
        <w:numPr>
          <w:ilvl w:val="0"/>
          <w:numId w:val="3"/>
        </w:numPr>
        <w:rPr/>
      </w:pPr>
      <w:r>
        <w:rPr/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>
      <w:pPr>
        <w:pStyle w:val="Normal"/>
        <w:numPr>
          <w:ilvl w:val="0"/>
          <w:numId w:val="0"/>
        </w:numPr>
        <w:outlineLvl w:val="0"/>
        <w:rPr>
          <w:rFonts w:cs="Times New Roman"/>
          <w:color w:val="000000"/>
          <w:szCs w:val="28"/>
        </w:rPr>
      </w:pPr>
      <w:r>
        <w:rPr>
          <w:rFonts w:cs="Times New Roman"/>
          <w:color w:val="000000"/>
          <w:szCs w:val="28"/>
        </w:rPr>
      </w:r>
      <w:r>
        <w:br w:type="page"/>
      </w:r>
    </w:p>
    <w:p>
      <w:pPr>
        <w:pStyle w:val="Heading2"/>
        <w:numPr>
          <w:ilvl w:val="0"/>
          <w:numId w:val="2"/>
        </w:numPr>
        <w:spacing w:before="0" w:after="0"/>
        <w:ind w:start="0"/>
        <w:rPr>
          <w:rFonts w:cs="Times New Roman"/>
        </w:rPr>
      </w:pPr>
      <w:bookmarkStart w:id="17" w:name="_Toc230206157"/>
      <w:r>
        <w:rPr>
          <w:rFonts w:cs="Times New Roman"/>
          <w:color w:val="000000"/>
        </w:rPr>
        <w:t xml:space="preserve">ПРИЛОЖЕНИЕ А </w:t>
      </w:r>
      <w:r>
        <w:rPr>
          <w:rFonts w:cs="Times New Roman"/>
          <w:color w:val="EE0000"/>
        </w:rPr>
        <w:t>(заголовок второго уровня)</w:t>
      </w:r>
      <w:bookmarkEnd w:id="17"/>
    </w:p>
    <w:p>
      <w:pPr>
        <w:pStyle w:val="List"/>
        <w:numPr>
          <w:ilvl w:val="0"/>
          <w:numId w:val="0"/>
        </w:numPr>
        <w:ind w:hanging="0" w:start="0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каф. МОЭВМ" w:date="2025-10-25T12:20:00Z" w:initials="МОЭВМ">
    <w:p>
      <w:pPr>
        <w:overflowPunct w:val="false"/>
        <w:jc w:val="start"/>
        <w:rPr/>
      </w:pPr>
      <w:r>
        <w:annotationRef/>
      </w:r>
      <w:r>
        <w:rPr>
          <w:rFonts w:ascii="Liberation Serif" w:hAnsi="Liberation Serif"/>
          <w:sz w:val="20"/>
        </w:rPr>
        <w:t>Для студентов 2го курса – УЧЕБНАЯ практика</w:t>
      </w:r>
    </w:p>
    <w:p>
      <w:pPr>
        <w:overflowPunct w:val="false"/>
        <w:jc w:val="start"/>
        <w:rPr/>
      </w:pPr>
      <w:r>
        <w:rPr>
          <w:rFonts w:ascii="Liberation Serif" w:hAnsi="Liberation Serif"/>
          <w:sz w:val="20"/>
        </w:rPr>
        <w:t>Для студентов 3го курса – ПРОИЗВОДСТВЕННАЯ практика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Liberation Mono">
    <w:altName w:val="Courier New"/>
    <w:charset w:val="01" w:characterSet="utf-8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KaTeX_Math">
    <w:charset w:val="01" w:characterSet="utf-8"/>
    <w:family w:val="roman"/>
    <w:pitch w:val="variable"/>
  </w:font>
  <w:font w:name="Cambria Math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>
        <w:rStyle w:val="PageNumber"/>
      </w:rPr>
    </w:pPr>
    <w:r>
      <w:rPr/>
    </w:r>
  </w:p>
  <w:p>
    <w:pPr>
      <w:pStyle w:val="Normal"/>
      <w:ind w:end="360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18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/>
    </w:r>
  </w:p>
  <w:p>
    <w:pPr>
      <w:pStyle w:val="Normal"/>
      <w:ind w:end="36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72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142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9" w:semiHidden="1" w:unhideWhenUsed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80d79"/>
    <w:pPr>
      <w:widowControl/>
      <w:suppressAutoHyphens w:val="true"/>
      <w:bidi w:val="0"/>
      <w:spacing w:before="0" w:after="0"/>
      <w:jc w:val="both"/>
    </w:pPr>
    <w:rPr>
      <w:rFonts w:ascii="Times New Roman" w:hAnsi="Times New Roman" w:eastAsia="Noto Serif CJK SC" w:cs="Lohit Devanagari"/>
      <w:color w:val="auto"/>
      <w:kern w:val="0"/>
      <w:sz w:val="28"/>
      <w:szCs w:val="20"/>
      <w:lang w:val="ru-RU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Heading2">
    <w:name w:val="heading 2"/>
    <w:basedOn w:val="Normal"/>
    <w:next w:val="BodyText"/>
    <w:qFormat/>
    <w:rsid w:val="009e1d23"/>
    <w:pPr>
      <w:numPr>
        <w:ilvl w:val="0"/>
        <w:numId w:val="2"/>
      </w:numPr>
      <w:spacing w:lineRule="auto" w:line="360"/>
      <w:ind w:star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Heading3">
    <w:name w:val="heading 3"/>
    <w:basedOn w:val="Normal"/>
    <w:next w:val="BodyText"/>
    <w:link w:val="3"/>
    <w:qFormat/>
    <w:rsid w:val="009d684c"/>
    <w:pPr>
      <w:tabs>
        <w:tab w:val="clear" w:pos="708"/>
        <w:tab w:val="left" w:pos="0" w:leader="none"/>
      </w:tabs>
      <w:spacing w:lineRule="auto" w:line="360"/>
      <w:ind w:start="708"/>
      <w:outlineLvl w:val="2"/>
    </w:pPr>
    <w:rPr>
      <w:rFonts w:cs="Cambria"/>
      <w:b/>
      <w:bCs/>
      <w:kern w:val="2"/>
      <w:szCs w:val="28"/>
    </w:rPr>
  </w:style>
  <w:style w:type="paragraph" w:styleId="Heading4">
    <w:name w:val="heading 4"/>
    <w:basedOn w:val="Heading3"/>
    <w:next w:val="BodyText"/>
    <w:qFormat/>
    <w:rsid w:val="001013bd"/>
    <w:pPr>
      <w:outlineLvl w:val="3"/>
    </w:pPr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qFormat/>
    <w:rsid w:val="002e3233"/>
    <w:rPr>
      <w:rFonts w:ascii="Times New Roman" w:hAnsi="Times New Roman" w:cs="Times New Roman"/>
      <w:sz w:val="28"/>
      <w:szCs w:val="28"/>
    </w:rPr>
  </w:style>
  <w:style w:type="character" w:styleId="PageNumber">
    <w:name w:val="page number"/>
    <w:basedOn w:val="DefaultParagraphFont"/>
    <w:rPr/>
  </w:style>
  <w:style w:type="character" w:styleId="3" w:customStyle="1">
    <w:name w:val="Заголовок 3 Знак"/>
    <w:basedOn w:val="DefaultParagraphFont"/>
    <w:link w:val="Heading3"/>
    <w:qFormat/>
    <w:rsid w:val="000d771f"/>
    <w:rPr>
      <w:rFonts w:ascii="Times New Roman" w:hAnsi="Times New Roman" w:cs="Cambria"/>
      <w:b/>
      <w:bCs/>
      <w:kern w:val="2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54790"/>
    <w:rPr>
      <w:color w:themeColor="hyperlink"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1d6af8"/>
    <w:rPr>
      <w:sz w:val="16"/>
      <w:szCs w:val="16"/>
    </w:rPr>
  </w:style>
  <w:style w:type="character" w:styleId="Style11" w:customStyle="1">
    <w:name w:val="Текст примечания Знак"/>
    <w:basedOn w:val="DefaultParagraphFont"/>
    <w:link w:val="CommentText"/>
    <w:uiPriority w:val="99"/>
    <w:semiHidden/>
    <w:qFormat/>
    <w:rsid w:val="001d6af8"/>
    <w:rPr>
      <w:rFonts w:cs="Mangal"/>
      <w:szCs w:val="18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1d6af8"/>
    <w:rPr>
      <w:rFonts w:cs="Mangal"/>
      <w:b/>
      <w:bCs/>
      <w:szCs w:val="18"/>
    </w:rPr>
  </w:style>
  <w:style w:type="character" w:styleId="Style13" w:customStyle="1">
    <w:name w:val="Ссылка указателя"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78395f"/>
    <w:rPr>
      <w:rFonts w:ascii="Segoe UI" w:hAnsi="Segoe UI" w:cs="Mangal"/>
      <w:sz w:val="18"/>
      <w:szCs w:val="16"/>
    </w:rPr>
  </w:style>
  <w:style w:type="character" w:styleId="Strong">
    <w:name w:val="Strong"/>
    <w:basedOn w:val="DefaultParagraphFont"/>
    <w:uiPriority w:val="22"/>
    <w:qFormat/>
    <w:rsid w:val="007e05c4"/>
    <w:rPr>
      <w:b/>
      <w:bCs/>
    </w:rPr>
  </w:style>
  <w:style w:type="character" w:styleId="katex-mathml" w:customStyle="1">
    <w:name w:val="katex-mathml"/>
    <w:basedOn w:val="DefaultParagraphFont"/>
    <w:qFormat/>
    <w:rsid w:val="007e05c4"/>
    <w:rPr/>
  </w:style>
  <w:style w:type="character" w:styleId="mord" w:customStyle="1">
    <w:name w:val="mord"/>
    <w:basedOn w:val="DefaultParagraphFont"/>
    <w:qFormat/>
    <w:rsid w:val="007e05c4"/>
    <w:rPr/>
  </w:style>
  <w:style w:type="character" w:styleId="mbin" w:customStyle="1">
    <w:name w:val="mbin"/>
    <w:basedOn w:val="DefaultParagraphFont"/>
    <w:qFormat/>
    <w:rsid w:val="007e05c4"/>
    <w:rPr/>
  </w:style>
  <w:style w:type="character" w:styleId="HTMLCode">
    <w:name w:val="HTML Code"/>
    <w:basedOn w:val="DefaultParagraphFont"/>
    <w:uiPriority w:val="99"/>
    <w:semiHidden/>
    <w:unhideWhenUsed/>
    <w:qFormat/>
    <w:rsid w:val="007e05c4"/>
    <w:rPr>
      <w:rFonts w:ascii="Courier New" w:hAnsi="Courier New" w:eastAsia="Times New Roman" w:cs="Courier New"/>
      <w:sz w:val="20"/>
      <w:szCs w:val="20"/>
    </w:rPr>
  </w:style>
  <w:style w:type="character" w:styleId="vlist-s" w:customStyle="1">
    <w:name w:val="vlist-s"/>
    <w:basedOn w:val="DefaultParagraphFont"/>
    <w:qFormat/>
    <w:rsid w:val="007e05c4"/>
    <w:rPr/>
  </w:style>
  <w:style w:type="character" w:styleId="mopen" w:customStyle="1">
    <w:name w:val="mopen"/>
    <w:basedOn w:val="DefaultParagraphFont"/>
    <w:qFormat/>
    <w:rsid w:val="007e05c4"/>
    <w:rPr/>
  </w:style>
  <w:style w:type="character" w:styleId="mpunct" w:customStyle="1">
    <w:name w:val="mpunct"/>
    <w:basedOn w:val="DefaultParagraphFont"/>
    <w:qFormat/>
    <w:rsid w:val="007e05c4"/>
    <w:rPr/>
  </w:style>
  <w:style w:type="character" w:styleId="mclose" w:customStyle="1">
    <w:name w:val="mclose"/>
    <w:basedOn w:val="DefaultParagraphFont"/>
    <w:qFormat/>
    <w:rsid w:val="007e05c4"/>
    <w:rPr/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link w:val="Style10"/>
    <w:qFormat/>
    <w:rsid w:val="002e3233"/>
    <w:pPr>
      <w:widowControl/>
      <w:tabs>
        <w:tab w:val="clear" w:pos="708"/>
        <w:tab w:val="left" w:pos="709" w:leader="none"/>
      </w:tabs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cs="Times New Roman" w:eastAsia="Noto Serif CJK SC"/>
      <w:color w:val="auto"/>
      <w:kern w:val="0"/>
      <w:sz w:val="28"/>
      <w:szCs w:val="28"/>
      <w:lang w:val="ru-RU" w:eastAsia="zh-CN" w:bidi="hi-IN"/>
    </w:rPr>
  </w:style>
  <w:style w:type="paragraph" w:styleId="List">
    <w:name w:val="List"/>
    <w:basedOn w:val="BodyText"/>
    <w:rsid w:val="008e568a"/>
    <w:pPr>
      <w:numPr>
        <w:ilvl w:val="0"/>
        <w:numId w:val="4"/>
      </w:numPr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Cs w:val="28"/>
    </w:rPr>
  </w:style>
  <w:style w:type="paragraph" w:styleId="Style16" w:customStyle="1">
    <w:name w:val="Указатель"/>
    <w:basedOn w:val="Normal"/>
    <w:qFormat/>
    <w:pPr>
      <w:suppressLineNumbers/>
    </w:pPr>
    <w:rPr>
      <w:rFonts w:cs="Arial"/>
    </w:rPr>
  </w:style>
  <w:style w:type="paragraph" w:styleId="TOC2">
    <w:name w:val="toc 2"/>
    <w:basedOn w:val="TOC1"/>
    <w:next w:val="Normal"/>
    <w:autoRedefine/>
    <w:uiPriority w:val="39"/>
    <w:unhideWhenUsed/>
    <w:rsid w:val="00ae03b6"/>
    <w:pPr/>
    <w:rPr>
      <w:rFonts w:cs="Mangal"/>
      <w:szCs w:val="18"/>
    </w:rPr>
  </w:style>
  <w:style w:type="paragraph" w:styleId="TOC1">
    <w:name w:val="toc 1"/>
    <w:basedOn w:val="BodyText"/>
    <w:next w:val="BodyText"/>
    <w:uiPriority w:val="39"/>
    <w:qFormat/>
    <w:rsid w:val="00ae03b6"/>
    <w:pPr>
      <w:tabs>
        <w:tab w:val="right" w:pos="9345" w:leader="dot"/>
      </w:tabs>
      <w:ind w:hanging="0"/>
    </w:pPr>
    <w:rPr/>
  </w:style>
  <w:style w:type="paragraph" w:styleId="TOC3">
    <w:name w:val="toc 3"/>
    <w:basedOn w:val="TOC2"/>
    <w:next w:val="BodyText"/>
    <w:autoRedefine/>
    <w:uiPriority w:val="39"/>
    <w:unhideWhenUsed/>
    <w:rsid w:val="00ae03b6"/>
    <w:pPr/>
    <w:rPr/>
  </w:style>
  <w:style w:type="paragraph" w:styleId="Style17" w:customStyle="1">
    <w:name w:val="ВКР_Содержимое таблицы"/>
    <w:basedOn w:val="Normal"/>
    <w:qFormat/>
    <w:rsid w:val="00280745"/>
    <w:pPr>
      <w:suppressLineNumbers/>
      <w:spacing w:lineRule="auto" w:line="360"/>
      <w:jc w:val="center"/>
    </w:pPr>
    <w:rPr>
      <w:rFonts w:cs="Times New Roman"/>
    </w:rPr>
  </w:style>
  <w:style w:type="paragraph" w:styleId="Style18" w:customStyle="1">
    <w:name w:val="ВКР_Подпись таблицы"/>
    <w:basedOn w:val="BodyText"/>
    <w:qFormat/>
    <w:rsid w:val="00695d84"/>
    <w:pPr>
      <w:spacing w:lineRule="auto" w:line="240"/>
      <w:ind w:hanging="0"/>
      <w:jc w:val="start"/>
    </w:pPr>
    <w:rPr>
      <w:szCs w:val="20"/>
    </w:rPr>
  </w:style>
  <w:style w:type="paragraph" w:styleId="Style19" w:customStyle="1">
    <w:name w:val="ВКР_Подпись для рисунков"/>
    <w:basedOn w:val="BodyText"/>
    <w:next w:val="Normal"/>
    <w:qFormat/>
    <w:rsid w:val="00280745"/>
    <w:pPr>
      <w:ind w:hanging="0"/>
      <w:jc w:val="center"/>
    </w:pPr>
    <w:rPr/>
  </w:style>
  <w:style w:type="paragraph" w:styleId="CommentText">
    <w:name w:val="annotation text"/>
    <w:basedOn w:val="Normal"/>
    <w:link w:val="Style11"/>
    <w:uiPriority w:val="99"/>
    <w:semiHidden/>
    <w:unhideWhenUsed/>
    <w:rsid w:val="001d6af8"/>
    <w:pPr/>
    <w:rPr>
      <w:rFonts w:cs="Mangal"/>
      <w:szCs w:val="18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1d6af8"/>
    <w:pPr/>
    <w:rPr>
      <w:b/>
      <w:bCs/>
    </w:rPr>
  </w:style>
  <w:style w:type="paragraph" w:styleId="TOC4">
    <w:name w:val="toc 4"/>
    <w:basedOn w:val="Normal"/>
    <w:next w:val="Normal"/>
    <w:autoRedefine/>
    <w:uiPriority w:val="39"/>
    <w:unhideWhenUsed/>
    <w:rsid w:val="00f9109f"/>
    <w:pPr>
      <w:spacing w:before="0" w:after="100"/>
      <w:ind w:start="600"/>
    </w:pPr>
    <w:rPr>
      <w:rFonts w:cs="Mangal"/>
      <w:szCs w:val="18"/>
    </w:rPr>
  </w:style>
  <w:style w:type="paragraph" w:styleId="Style20" w:customStyle="1">
    <w:name w:val="Колонтитулы"/>
    <w:basedOn w:val="Normal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Style20"/>
    <w:pPr/>
    <w:rPr/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78395f"/>
    <w:pPr/>
    <w:rPr>
      <w:rFonts w:ascii="Segoe UI" w:hAnsi="Segoe UI" w:cs="Mangal"/>
      <w:sz w:val="18"/>
      <w:szCs w:val="16"/>
    </w:rPr>
  </w:style>
  <w:style w:type="paragraph" w:styleId="ds-markdown-paragraph" w:customStyle="1">
    <w:name w:val="ds-markdown-paragraph"/>
    <w:basedOn w:val="Normal"/>
    <w:qFormat/>
    <w:rsid w:val="007e05c4"/>
    <w:pPr>
      <w:suppressAutoHyphens w:val="false"/>
      <w:spacing w:beforeAutospacing="1" w:afterAutospacing="1"/>
      <w:jc w:val="start"/>
    </w:pPr>
    <w:rPr>
      <w:rFonts w:eastAsia="Times New Roman" w:cs="Times New Roman"/>
      <w:sz w:val="24"/>
      <w:szCs w:val="24"/>
      <w:lang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numbering" w:styleId="Style21" w:customStyle="1">
    <w:name w:val="Без списка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numbering" w:styleId="WW8Num11" w:customStyle="1">
    <w:name w:val="WW8Num11"/>
    <w:qFormat/>
  </w:style>
  <w:style w:type="numbering" w:styleId="WW8Num12" w:customStyle="1">
    <w:name w:val="WW8Num12"/>
    <w:qFormat/>
  </w:style>
  <w:style w:type="numbering" w:styleId="WW8Num13" w:customStyle="1">
    <w:name w:val="WW8Num13"/>
    <w:qFormat/>
  </w:style>
  <w:style w:type="numbering" w:styleId="WW8Num14" w:customStyle="1">
    <w:name w:val="WW8Num14"/>
    <w:qFormat/>
  </w:style>
  <w:style w:type="numbering" w:styleId="WW8Num15" w:customStyle="1">
    <w:name w:val="WW8Num15"/>
    <w:qFormat/>
  </w:style>
  <w:style w:type="numbering" w:styleId="WW8Num16" w:customStyle="1">
    <w:name w:val="WW8Num16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6">
    <w:name w:val="Table Grid"/>
    <w:basedOn w:val="a3"/>
    <w:uiPriority w:val="59"/>
    <w:rsid w:val="001013bd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comments" Target="comments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6B4F0A-7354-4713-A7B2-F1F712D708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Application>LibreOffice/26.2.4.2$Linux_X86_64 LibreOffice_project/df4f15f06f7b375c1d16aa35fba92d50b262cd01</Application>
  <AppVersion>15.0000</AppVersion>
  <Pages>18</Pages>
  <Words>1586</Words>
  <Characters>11135</Characters>
  <CharactersWithSpaces>12635</CharactersWithSpaces>
  <Paragraphs>189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2026-05-20T18:41:00Z</dcterms:created>
  <dc:creator>каф. МОЭВМ</dc:creator>
  <dc:description/>
  <dc:language>ru-RU</dc:language>
  <cp:lastModifiedBy/>
  <cp:lastPrinted>2025-09-17T20:14:00Z</cp:lastPrinted>
  <dcterms:modified xsi:type="dcterms:W3CDTF">2026-07-07T20:51:41Z</dcterms:modified>
  <cp:revision>13</cp:revision>
  <dc:subject/>
  <dc:title>ВКР_ШАБЛОН_МОЭВМ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