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D4A32"/>
          <w:sz w:val="44"/>
        </w:rPr>
        <w:t>AI, the Brain, and Serviam</w:t>
      </w:r>
    </w:p>
    <w:p>
      <w:pPr>
        <w:jc w:val="center"/>
      </w:pPr>
      <w:r>
        <w:rPr>
          <w:rFonts w:ascii="Aptos" w:hAnsi="Aptos"/>
          <w:i/>
          <w:color w:val="505050"/>
          <w:sz w:val="24"/>
        </w:rPr>
        <w:t>20-Minute Student-Facing Lesson Plan for Ursuline Academy, Dedham</w:t>
      </w:r>
    </w:p>
    <w:p/>
    <w:p>
      <w:pPr>
        <w:pStyle w:val="Heading1"/>
      </w:pPr>
      <w:r>
        <w:t>Lesson snapshot</w:t>
      </w:r>
    </w:p>
    <w:tbl>
      <w:tblPr>
        <w:tblStyle w:val="TableGrid"/>
        <w:tblW w:type="auto" w:w="0"/>
        <w:jc w:val="center"/>
        <w:tblLook w:firstColumn="1" w:firstRow="1" w:lastColumn="0" w:lastRow="0" w:noHBand="0" w:noVBand="1" w:val="04A0"/>
      </w:tblPr>
      <w:tblGrid>
        <w:gridCol w:w="5112"/>
        <w:gridCol w:w="5112"/>
      </w:tblGrid>
      <w:tr>
        <w:tc>
          <w:tcPr>
            <w:tcW w:type="dxa" w:w="2448"/>
            <w:shd w:fill="1d4a32"/>
            <w:vAlign w:val="top"/>
          </w:tcPr>
          <w:p>
            <w:pPr>
              <w:spacing w:after="0"/>
            </w:pPr>
            <w:r/>
            <w:r>
              <w:rPr>
                <w:b/>
                <w:color w:val="FFFFFF"/>
              </w:rPr>
              <w:t>Category</w:t>
            </w:r>
          </w:p>
        </w:tc>
        <w:tc>
          <w:tcPr>
            <w:tcW w:type="dxa" w:w="8352"/>
            <w:shd w:fill="1d4a32"/>
            <w:vAlign w:val="top"/>
          </w:tcPr>
          <w:p>
            <w:pPr>
              <w:spacing w:after="0"/>
            </w:pPr>
            <w:r/>
            <w:r>
              <w:rPr>
                <w:b/>
                <w:color w:val="FFFFFF"/>
              </w:rPr>
              <w:t>Plan</w:t>
            </w:r>
          </w:p>
        </w:tc>
      </w:tr>
      <w:tr>
        <w:tc>
          <w:tcPr>
            <w:tcW w:type="dxa" w:w="2448"/>
            <w:vAlign w:val="top"/>
          </w:tcPr>
          <w:p>
            <w:pPr>
              <w:spacing w:after="0"/>
            </w:pPr>
            <w:r/>
            <w:r>
              <w:rPr>
                <w:b w:val="0"/>
              </w:rPr>
              <w:t>Course or context</w:t>
            </w:r>
          </w:p>
        </w:tc>
        <w:tc>
          <w:tcPr>
            <w:tcW w:type="dxa" w:w="8352"/>
            <w:vAlign w:val="top"/>
          </w:tcPr>
          <w:p>
            <w:pPr>
              <w:spacing w:after="0"/>
            </w:pPr>
            <w:r/>
            <w:r>
              <w:rPr>
                <w:b w:val="0"/>
              </w:rPr>
              <w:t>Flexible grades 7 to 12. Computer science, AI literacy, digital citizenship, math and science connection, advisory or interdisciplinary seminar.</w:t>
            </w:r>
          </w:p>
        </w:tc>
      </w:tr>
      <w:tr>
        <w:tc>
          <w:tcPr>
            <w:tcW w:type="dxa" w:w="2448"/>
            <w:vAlign w:val="top"/>
          </w:tcPr>
          <w:p>
            <w:pPr>
              <w:spacing w:after="0"/>
            </w:pPr>
            <w:r/>
            <w:r>
              <w:rPr>
                <w:b w:val="0"/>
              </w:rPr>
              <w:t>Length</w:t>
            </w:r>
          </w:p>
        </w:tc>
        <w:tc>
          <w:tcPr>
            <w:tcW w:type="dxa" w:w="8352"/>
            <w:vAlign w:val="top"/>
          </w:tcPr>
          <w:p>
            <w:pPr>
              <w:spacing w:after="0"/>
            </w:pPr>
            <w:r/>
            <w:r>
              <w:rPr>
                <w:b w:val="0"/>
              </w:rPr>
              <w:t>20 minutes. The lesson is intentionally a sample and not a full AI unit.</w:t>
            </w:r>
          </w:p>
        </w:tc>
      </w:tr>
      <w:tr>
        <w:tc>
          <w:tcPr>
            <w:tcW w:type="dxa" w:w="2448"/>
            <w:vAlign w:val="top"/>
          </w:tcPr>
          <w:p>
            <w:pPr>
              <w:spacing w:after="0"/>
            </w:pPr>
            <w:r/>
            <w:r>
              <w:rPr>
                <w:b w:val="0"/>
              </w:rPr>
              <w:t>Audience</w:t>
            </w:r>
          </w:p>
        </w:tc>
        <w:tc>
          <w:tcPr>
            <w:tcW w:type="dxa" w:w="8352"/>
            <w:vAlign w:val="top"/>
          </w:tcPr>
          <w:p>
            <w:pPr>
              <w:spacing w:after="0"/>
            </w:pPr>
            <w:r/>
            <w:r>
              <w:rPr>
                <w:b w:val="0"/>
              </w:rPr>
              <w:t>Student-facing, reviewed by school leaders. Designed for Ursuline girls in grades 7 to 12 with built-in differentiation.</w:t>
            </w:r>
          </w:p>
        </w:tc>
      </w:tr>
      <w:tr>
        <w:tc>
          <w:tcPr>
            <w:tcW w:type="dxa" w:w="2448"/>
            <w:vAlign w:val="top"/>
          </w:tcPr>
          <w:p>
            <w:pPr>
              <w:spacing w:after="0"/>
            </w:pPr>
            <w:r/>
            <w:r>
              <w:rPr>
                <w:b w:val="0"/>
              </w:rPr>
              <w:t>Essential question</w:t>
            </w:r>
          </w:p>
        </w:tc>
        <w:tc>
          <w:tcPr>
            <w:tcW w:type="dxa" w:w="8352"/>
            <w:vAlign w:val="top"/>
          </w:tcPr>
          <w:p>
            <w:pPr>
              <w:spacing w:after="0"/>
            </w:pPr>
            <w:r/>
            <w:r>
              <w:rPr>
                <w:b w:val="0"/>
              </w:rPr>
              <w:t>How can we understand AI well enough to use it wisely, truthfully, and in service of others?</w:t>
            </w:r>
          </w:p>
        </w:tc>
      </w:tr>
      <w:tr>
        <w:tc>
          <w:tcPr>
            <w:tcW w:type="dxa" w:w="2448"/>
            <w:vAlign w:val="top"/>
          </w:tcPr>
          <w:p>
            <w:pPr>
              <w:spacing w:after="0"/>
            </w:pPr>
            <w:r/>
            <w:r>
              <w:rPr>
                <w:b w:val="0"/>
              </w:rPr>
              <w:t>Core thesis</w:t>
            </w:r>
          </w:p>
        </w:tc>
        <w:tc>
          <w:tcPr>
            <w:tcW w:type="dxa" w:w="8352"/>
            <w:vAlign w:val="top"/>
          </w:tcPr>
          <w:p>
            <w:pPr>
              <w:spacing w:after="0"/>
            </w:pPr>
            <w:r/>
            <w:r>
              <w:rPr>
                <w:b w:val="0"/>
              </w:rPr>
              <w:t>AI is not magic. It is math trained on patterns. Human wisdom decides whether, when, and how to use it.</w:t>
            </w:r>
          </w:p>
        </w:tc>
      </w:tr>
      <w:tr>
        <w:tc>
          <w:tcPr>
            <w:tcW w:type="dxa" w:w="2448"/>
            <w:vAlign w:val="top"/>
          </w:tcPr>
          <w:p>
            <w:pPr>
              <w:spacing w:after="0"/>
            </w:pPr>
            <w:r/>
            <w:r>
              <w:rPr>
                <w:b w:val="0"/>
              </w:rPr>
              <w:t>Mission fit</w:t>
            </w:r>
          </w:p>
        </w:tc>
        <w:tc>
          <w:tcPr>
            <w:tcW w:type="dxa" w:w="8352"/>
            <w:vAlign w:val="top"/>
          </w:tcPr>
          <w:p>
            <w:pPr>
              <w:spacing w:after="0"/>
            </w:pPr>
            <w:r/>
            <w:r>
              <w:rPr>
                <w:b w:val="0"/>
              </w:rPr>
              <w:t>Serviam, intellectual curiosity, respect, compassion, integrity, purpose, presence, whole-person education, and young women as thoughtful leaders of technology.</w:t>
            </w:r>
          </w:p>
        </w:tc>
      </w:tr>
    </w:tbl>
    <w:p/>
    <w:p>
      <w:pPr>
        <w:pStyle w:val="Heading1"/>
      </w:pPr>
      <w:r>
        <w:t>Learning targets</w:t>
      </w:r>
    </w:p>
    <w:p>
      <w:pPr>
        <w:pStyle w:val="ListBullet"/>
        <w:spacing w:after="40"/>
      </w:pPr>
      <w:r>
        <w:t>I can explain AI as a system that uses data and math to find patterns, make predictions, generate content, or support decisions.</w:t>
      </w:r>
    </w:p>
    <w:p>
      <w:pPr>
        <w:pStyle w:val="ListBullet"/>
        <w:spacing w:after="40"/>
      </w:pPr>
      <w:r>
        <w:t>I can describe how a language model uses tokens, numerical patterns, probability, attention, and human review.</w:t>
      </w:r>
    </w:p>
    <w:p>
      <w:pPr>
        <w:pStyle w:val="ListBullet"/>
        <w:spacing w:after="40"/>
      </w:pPr>
      <w:r>
        <w:t>I can compare human learning with AI prediction without confusing the two.</w:t>
      </w:r>
    </w:p>
    <w:p>
      <w:pPr>
        <w:pStyle w:val="ListBullet"/>
        <w:spacing w:after="40"/>
      </w:pPr>
      <w:r>
        <w:t>I can critique an AI answer by identifying what is accurate, vague, or needs verification.</w:t>
      </w:r>
    </w:p>
    <w:p>
      <w:pPr>
        <w:pStyle w:val="ListBullet"/>
        <w:spacing w:after="40"/>
      </w:pPr>
      <w:r>
        <w:t>I can use the SERVIAM AI Protocol to decide whether AI use supports learning, integrity, and service.</w:t>
      </w:r>
    </w:p>
    <w:p>
      <w:pPr>
        <w:pStyle w:val="Heading1"/>
      </w:pPr>
      <w:r>
        <w:t>Success criteria</w:t>
      </w:r>
    </w:p>
    <w:p>
      <w:pPr>
        <w:pStyle w:val="ListBullet"/>
        <w:spacing w:after="40"/>
      </w:pPr>
      <w:r>
        <w:t>Students can say that AI predicts likely outputs from patterns, not guaranteed truth.</w:t>
      </w:r>
    </w:p>
    <w:p>
      <w:pPr>
        <w:pStyle w:val="ListBullet"/>
        <w:spacing w:after="40"/>
      </w:pPr>
      <w:r>
        <w:t>Students can name at least two internal steps, such as tokens, probability, or attention.</w:t>
      </w:r>
    </w:p>
    <w:p>
      <w:pPr>
        <w:pStyle w:val="ListBullet"/>
        <w:spacing w:after="40"/>
      </w:pPr>
      <w:r>
        <w:t>Students can explain one way AI helps learning and one way it can weaken learning.</w:t>
      </w:r>
    </w:p>
    <w:p>
      <w:pPr>
        <w:pStyle w:val="ListBullet"/>
        <w:spacing w:after="40"/>
      </w:pPr>
      <w:r>
        <w:t>Students can apply at least one part of the SERVIAM protocol to a realistic AI use case.</w:t>
      </w:r>
    </w:p>
    <w:p>
      <w:pPr>
        <w:pStyle w:val="Heading1"/>
      </w:pPr>
      <w:r>
        <w:t>Materials</w:t>
      </w:r>
    </w:p>
    <w:p>
      <w:pPr>
        <w:pStyle w:val="ListBullet"/>
        <w:spacing w:after="40"/>
      </w:pPr>
      <w:r>
        <w:t>Student-facing Gamma deck: AI, the Brain, and Serviam, 20 slides max.</w:t>
      </w:r>
    </w:p>
    <w:p>
      <w:pPr>
        <w:pStyle w:val="ListBullet"/>
        <w:spacing w:after="40"/>
      </w:pPr>
      <w:r>
        <w:t>Prepared flawed AI response for audit activity.</w:t>
      </w:r>
    </w:p>
    <w:p>
      <w:pPr>
        <w:pStyle w:val="ListBullet"/>
        <w:spacing w:after="40"/>
      </w:pPr>
      <w:r>
        <w:t>Optional live AI tool for one short prompt surgery example. Prepared examples should remain available as backup.</w:t>
      </w:r>
    </w:p>
    <w:p>
      <w:pPr>
        <w:pStyle w:val="ListBullet"/>
        <w:spacing w:after="40"/>
      </w:pPr>
      <w:r>
        <w:t>Student SERVIAM AI Use Card or exit ticket.</w:t>
      </w:r>
    </w:p>
    <w:p>
      <w:pPr>
        <w:pStyle w:val="Heading1"/>
      </w:pPr>
      <w:r>
        <w:t>20-minute instructional flow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fill="1d4a32"/>
            <w:vAlign w:val="top"/>
          </w:tcPr>
          <w:p>
            <w:pPr>
              <w:spacing w:after="0"/>
            </w:pPr>
            <w:r/>
            <w:r>
              <w:rPr>
                <w:b/>
                <w:color w:val="FFFFFF"/>
              </w:rPr>
              <w:t>Time</w:t>
            </w:r>
          </w:p>
        </w:tc>
        <w:tc>
          <w:tcPr>
            <w:tcW w:type="dxa" w:w="1440"/>
            <w:shd w:fill="1d4a32"/>
            <w:vAlign w:val="top"/>
          </w:tcPr>
          <w:p>
            <w:pPr>
              <w:spacing w:after="0"/>
            </w:pPr>
            <w:r/>
            <w:r>
              <w:rPr>
                <w:b/>
                <w:color w:val="FFFFFF"/>
              </w:rPr>
              <w:t>Slides</w:t>
            </w:r>
          </w:p>
        </w:tc>
        <w:tc>
          <w:tcPr>
            <w:tcW w:type="dxa" w:w="3312"/>
            <w:shd w:fill="1d4a32"/>
            <w:vAlign w:val="top"/>
          </w:tcPr>
          <w:p>
            <w:pPr>
              <w:spacing w:after="0"/>
            </w:pPr>
            <w:r/>
            <w:r>
              <w:rPr>
                <w:b/>
                <w:color w:val="FFFFFF"/>
              </w:rPr>
              <w:t>Teacher move</w:t>
            </w:r>
          </w:p>
        </w:tc>
        <w:tc>
          <w:tcPr>
            <w:tcW w:type="dxa" w:w="4608"/>
            <w:shd w:fill="1d4a32"/>
            <w:vAlign w:val="top"/>
          </w:tcPr>
          <w:p>
            <w:pPr>
              <w:spacing w:after="0"/>
            </w:pPr>
            <w:r/>
            <w:r>
              <w:rPr>
                <w:b/>
                <w:color w:val="FFFFFF"/>
              </w:rPr>
              <w:t>Student evidence</w:t>
            </w:r>
          </w:p>
        </w:tc>
      </w:tr>
      <w:tr>
        <w:tc>
          <w:tcPr>
            <w:tcW w:type="dxa" w:w="1440"/>
            <w:vAlign w:val="top"/>
          </w:tcPr>
          <w:p>
            <w:pPr>
              <w:spacing w:after="0"/>
            </w:pPr>
            <w:r/>
            <w:r>
              <w:rPr>
                <w:b w:val="0"/>
              </w:rPr>
              <w:t>0:00 to 1:00</w:t>
            </w:r>
          </w:p>
        </w:tc>
        <w:tc>
          <w:tcPr>
            <w:tcW w:type="dxa" w:w="1440"/>
            <w:vAlign w:val="top"/>
          </w:tcPr>
          <w:p>
            <w:pPr>
              <w:spacing w:after="0"/>
            </w:pPr>
            <w:r/>
            <w:r>
              <w:rPr>
                <w:b w:val="0"/>
              </w:rPr>
              <w:t>Slide 1 to 2</w:t>
            </w:r>
          </w:p>
        </w:tc>
        <w:tc>
          <w:tcPr>
            <w:tcW w:type="dxa" w:w="3312"/>
            <w:vAlign w:val="top"/>
          </w:tcPr>
          <w:p>
            <w:pPr>
              <w:spacing w:after="0"/>
            </w:pPr>
            <w:r/>
            <w:r>
              <w:rPr>
                <w:b w:val="0"/>
              </w:rPr>
              <w:t>Purpose and essential question</w:t>
            </w:r>
          </w:p>
        </w:tc>
        <w:tc>
          <w:tcPr>
            <w:tcW w:type="dxa" w:w="4608"/>
            <w:vAlign w:val="top"/>
          </w:tcPr>
          <w:p>
            <w:pPr>
              <w:spacing w:after="0"/>
            </w:pPr>
            <w:r/>
            <w:r>
              <w:rPr>
                <w:b w:val="0"/>
              </w:rPr>
              <w:t>Students understand the lesson arc: what AI is, how it works, and how to use it wisely.</w:t>
            </w:r>
          </w:p>
        </w:tc>
      </w:tr>
      <w:tr>
        <w:tc>
          <w:tcPr>
            <w:tcW w:type="dxa" w:w="1440"/>
            <w:vAlign w:val="top"/>
          </w:tcPr>
          <w:p>
            <w:pPr>
              <w:spacing w:after="0"/>
            </w:pPr>
            <w:r/>
            <w:r>
              <w:rPr>
                <w:b w:val="0"/>
              </w:rPr>
              <w:t>1:00 to 3:30</w:t>
            </w:r>
          </w:p>
        </w:tc>
        <w:tc>
          <w:tcPr>
            <w:tcW w:type="dxa" w:w="1440"/>
            <w:vAlign w:val="top"/>
          </w:tcPr>
          <w:p>
            <w:pPr>
              <w:spacing w:after="0"/>
            </w:pPr>
            <w:r/>
            <w:r>
              <w:rPr>
                <w:b w:val="0"/>
              </w:rPr>
              <w:t>Slide 3 to 5</w:t>
            </w:r>
          </w:p>
        </w:tc>
        <w:tc>
          <w:tcPr>
            <w:tcW w:type="dxa" w:w="3312"/>
            <w:vAlign w:val="top"/>
          </w:tcPr>
          <w:p>
            <w:pPr>
              <w:spacing w:after="0"/>
            </w:pPr>
            <w:r/>
            <w:r>
              <w:rPr>
                <w:b w:val="0"/>
              </w:rPr>
              <w:t>Brain prediction hook</w:t>
            </w:r>
          </w:p>
        </w:tc>
        <w:tc>
          <w:tcPr>
            <w:tcW w:type="dxa" w:w="4608"/>
            <w:vAlign w:val="top"/>
          </w:tcPr>
          <w:p>
            <w:pPr>
              <w:spacing w:after="0"/>
            </w:pPr>
            <w:r/>
            <w:r>
              <w:rPr>
                <w:b w:val="0"/>
              </w:rPr>
              <w:t>Students predict a missing word, discuss context clues, and compare brain prediction with AI prediction.</w:t>
            </w:r>
          </w:p>
        </w:tc>
      </w:tr>
      <w:tr>
        <w:tc>
          <w:tcPr>
            <w:tcW w:type="dxa" w:w="1440"/>
            <w:vAlign w:val="top"/>
          </w:tcPr>
          <w:p>
            <w:pPr>
              <w:spacing w:after="0"/>
            </w:pPr>
            <w:r/>
            <w:r>
              <w:rPr>
                <w:b w:val="0"/>
              </w:rPr>
              <w:t>3:30 to 5:30</w:t>
            </w:r>
          </w:p>
        </w:tc>
        <w:tc>
          <w:tcPr>
            <w:tcW w:type="dxa" w:w="1440"/>
            <w:vAlign w:val="top"/>
          </w:tcPr>
          <w:p>
            <w:pPr>
              <w:spacing w:after="0"/>
            </w:pPr>
            <w:r/>
            <w:r>
              <w:rPr>
                <w:b w:val="0"/>
              </w:rPr>
              <w:t>Slide 6 to 7</w:t>
            </w:r>
          </w:p>
        </w:tc>
        <w:tc>
          <w:tcPr>
            <w:tcW w:type="dxa" w:w="3312"/>
            <w:vAlign w:val="top"/>
          </w:tcPr>
          <w:p>
            <w:pPr>
              <w:spacing w:after="0"/>
            </w:pPr>
            <w:r/>
            <w:r>
              <w:rPr>
                <w:b w:val="0"/>
              </w:rPr>
              <w:t>What AI is</w:t>
            </w:r>
          </w:p>
        </w:tc>
        <w:tc>
          <w:tcPr>
            <w:tcW w:type="dxa" w:w="4608"/>
            <w:vAlign w:val="top"/>
          </w:tcPr>
          <w:p>
            <w:pPr>
              <w:spacing w:after="0"/>
            </w:pPr>
            <w:r/>
            <w:r>
              <w:rPr>
                <w:b w:val="0"/>
              </w:rPr>
              <w:t>Students write a seven-word definition and broaden AI beyond chatbots.</w:t>
            </w:r>
          </w:p>
        </w:tc>
      </w:tr>
      <w:tr>
        <w:tc>
          <w:tcPr>
            <w:tcW w:type="dxa" w:w="1440"/>
            <w:vAlign w:val="top"/>
          </w:tcPr>
          <w:p>
            <w:pPr>
              <w:spacing w:after="0"/>
            </w:pPr>
            <w:r/>
            <w:r>
              <w:rPr>
                <w:b w:val="0"/>
              </w:rPr>
              <w:t>5:30 to 10:30</w:t>
            </w:r>
          </w:p>
        </w:tc>
        <w:tc>
          <w:tcPr>
            <w:tcW w:type="dxa" w:w="1440"/>
            <w:vAlign w:val="top"/>
          </w:tcPr>
          <w:p>
            <w:pPr>
              <w:spacing w:after="0"/>
            </w:pPr>
            <w:r/>
            <w:r>
              <w:rPr>
                <w:b w:val="0"/>
              </w:rPr>
              <w:t>Slide 8 to 12</w:t>
            </w:r>
          </w:p>
        </w:tc>
        <w:tc>
          <w:tcPr>
            <w:tcW w:type="dxa" w:w="3312"/>
            <w:vAlign w:val="top"/>
          </w:tcPr>
          <w:p>
            <w:pPr>
              <w:spacing w:after="0"/>
            </w:pPr>
            <w:r/>
            <w:r>
              <w:rPr>
                <w:b w:val="0"/>
              </w:rPr>
              <w:t>Prompt-to-response pathway</w:t>
            </w:r>
          </w:p>
        </w:tc>
        <w:tc>
          <w:tcPr>
            <w:tcW w:type="dxa" w:w="4608"/>
            <w:vAlign w:val="top"/>
          </w:tcPr>
          <w:p>
            <w:pPr>
              <w:spacing w:after="0"/>
            </w:pPr>
            <w:r/>
            <w:r>
              <w:rPr>
                <w:b w:val="0"/>
              </w:rPr>
              <w:t>Teacher models tokens, probability, attention, and why answers vary using simple examples.</w:t>
            </w:r>
          </w:p>
        </w:tc>
      </w:tr>
      <w:tr>
        <w:tc>
          <w:tcPr>
            <w:tcW w:type="dxa" w:w="1440"/>
            <w:vAlign w:val="top"/>
          </w:tcPr>
          <w:p>
            <w:pPr>
              <w:spacing w:after="0"/>
            </w:pPr>
            <w:r/>
            <w:r>
              <w:rPr>
                <w:b w:val="0"/>
              </w:rPr>
              <w:t>10:30 to 12:30</w:t>
            </w:r>
          </w:p>
        </w:tc>
        <w:tc>
          <w:tcPr>
            <w:tcW w:type="dxa" w:w="1440"/>
            <w:vAlign w:val="top"/>
          </w:tcPr>
          <w:p>
            <w:pPr>
              <w:spacing w:after="0"/>
            </w:pPr>
            <w:r/>
            <w:r>
              <w:rPr>
                <w:b w:val="0"/>
              </w:rPr>
              <w:t>Slide 13 to 14</w:t>
            </w:r>
          </w:p>
        </w:tc>
        <w:tc>
          <w:tcPr>
            <w:tcW w:type="dxa" w:w="3312"/>
            <w:vAlign w:val="top"/>
          </w:tcPr>
          <w:p>
            <w:pPr>
              <w:spacing w:after="0"/>
            </w:pPr>
            <w:r/>
            <w:r>
              <w:rPr>
                <w:b w:val="0"/>
              </w:rPr>
              <w:t>Brain science and trust</w:t>
            </w:r>
          </w:p>
        </w:tc>
        <w:tc>
          <w:tcPr>
            <w:tcW w:type="dxa" w:w="4608"/>
            <w:vAlign w:val="top"/>
          </w:tcPr>
          <w:p>
            <w:pPr>
              <w:spacing w:after="0"/>
            </w:pPr>
            <w:r/>
            <w:r>
              <w:rPr>
                <w:b w:val="0"/>
              </w:rPr>
              <w:t>Students learn that polished output is not the same as understanding or truth.</w:t>
            </w:r>
          </w:p>
        </w:tc>
      </w:tr>
      <w:tr>
        <w:tc>
          <w:tcPr>
            <w:tcW w:type="dxa" w:w="1440"/>
            <w:vAlign w:val="top"/>
          </w:tcPr>
          <w:p>
            <w:pPr>
              <w:spacing w:after="0"/>
            </w:pPr>
            <w:r/>
            <w:r>
              <w:rPr>
                <w:b w:val="0"/>
              </w:rPr>
              <w:t>12:30 to 16:00</w:t>
            </w:r>
          </w:p>
        </w:tc>
        <w:tc>
          <w:tcPr>
            <w:tcW w:type="dxa" w:w="1440"/>
            <w:vAlign w:val="top"/>
          </w:tcPr>
          <w:p>
            <w:pPr>
              <w:spacing w:after="0"/>
            </w:pPr>
            <w:r/>
            <w:r>
              <w:rPr>
                <w:b w:val="0"/>
              </w:rPr>
              <w:t>Slide 15 to 16</w:t>
            </w:r>
          </w:p>
        </w:tc>
        <w:tc>
          <w:tcPr>
            <w:tcW w:type="dxa" w:w="3312"/>
            <w:vAlign w:val="top"/>
          </w:tcPr>
          <w:p>
            <w:pPr>
              <w:spacing w:after="0"/>
            </w:pPr>
            <w:r/>
            <w:r>
              <w:rPr>
                <w:b w:val="0"/>
              </w:rPr>
              <w:t>AI audit and prompt surgery</w:t>
            </w:r>
          </w:p>
        </w:tc>
        <w:tc>
          <w:tcPr>
            <w:tcW w:type="dxa" w:w="4608"/>
            <w:vAlign w:val="top"/>
          </w:tcPr>
          <w:p>
            <w:pPr>
              <w:spacing w:after="0"/>
            </w:pPr>
            <w:r/>
            <w:r>
              <w:rPr>
                <w:b w:val="0"/>
              </w:rPr>
              <w:t>Students mark a flawed answer as accurate, vague, or needing verification, then revise the prompt.</w:t>
            </w:r>
          </w:p>
        </w:tc>
      </w:tr>
      <w:tr>
        <w:tc>
          <w:tcPr>
            <w:tcW w:type="dxa" w:w="1440"/>
            <w:vAlign w:val="top"/>
          </w:tcPr>
          <w:p>
            <w:pPr>
              <w:spacing w:after="0"/>
            </w:pPr>
            <w:r/>
            <w:r>
              <w:rPr>
                <w:b w:val="0"/>
              </w:rPr>
              <w:t>16:00 to 18:30</w:t>
            </w:r>
          </w:p>
        </w:tc>
        <w:tc>
          <w:tcPr>
            <w:tcW w:type="dxa" w:w="1440"/>
            <w:vAlign w:val="top"/>
          </w:tcPr>
          <w:p>
            <w:pPr>
              <w:spacing w:after="0"/>
            </w:pPr>
            <w:r/>
            <w:r>
              <w:rPr>
                <w:b w:val="0"/>
              </w:rPr>
              <w:t>Slide 17 to 18</w:t>
            </w:r>
          </w:p>
        </w:tc>
        <w:tc>
          <w:tcPr>
            <w:tcW w:type="dxa" w:w="3312"/>
            <w:vAlign w:val="top"/>
          </w:tcPr>
          <w:p>
            <w:pPr>
              <w:spacing w:after="0"/>
            </w:pPr>
            <w:r/>
            <w:r>
              <w:rPr>
                <w:b w:val="0"/>
              </w:rPr>
              <w:t>SERVIAM and judicious use</w:t>
            </w:r>
          </w:p>
        </w:tc>
        <w:tc>
          <w:tcPr>
            <w:tcW w:type="dxa" w:w="4608"/>
            <w:vAlign w:val="top"/>
          </w:tcPr>
          <w:p>
            <w:pPr>
              <w:spacing w:after="0"/>
            </w:pPr>
            <w:r/>
            <w:r>
              <w:rPr>
                <w:b w:val="0"/>
              </w:rPr>
              <w:t>Students apply the protocol to realistic green, yellow, red scenarios.</w:t>
            </w:r>
          </w:p>
        </w:tc>
      </w:tr>
      <w:tr>
        <w:tc>
          <w:tcPr>
            <w:tcW w:type="dxa" w:w="1440"/>
            <w:vAlign w:val="top"/>
          </w:tcPr>
          <w:p>
            <w:pPr>
              <w:spacing w:after="0"/>
            </w:pPr>
            <w:r/>
            <w:r>
              <w:rPr>
                <w:b w:val="0"/>
              </w:rPr>
              <w:t>18:30 to 20:00</w:t>
            </w:r>
          </w:p>
        </w:tc>
        <w:tc>
          <w:tcPr>
            <w:tcW w:type="dxa" w:w="1440"/>
            <w:vAlign w:val="top"/>
          </w:tcPr>
          <w:p>
            <w:pPr>
              <w:spacing w:after="0"/>
            </w:pPr>
            <w:r/>
            <w:r>
              <w:rPr>
                <w:b w:val="0"/>
              </w:rPr>
              <w:t>Slide 19</w:t>
            </w:r>
          </w:p>
        </w:tc>
        <w:tc>
          <w:tcPr>
            <w:tcW w:type="dxa" w:w="3312"/>
            <w:vAlign w:val="top"/>
          </w:tcPr>
          <w:p>
            <w:pPr>
              <w:spacing w:after="0"/>
            </w:pPr>
            <w:r/>
            <w:r>
              <w:rPr>
                <w:b w:val="0"/>
              </w:rPr>
              <w:t>Exit ticket</w:t>
            </w:r>
          </w:p>
        </w:tc>
        <w:tc>
          <w:tcPr>
            <w:tcW w:type="dxa" w:w="4608"/>
            <w:vAlign w:val="top"/>
          </w:tcPr>
          <w:p>
            <w:pPr>
              <w:spacing w:after="0"/>
            </w:pPr>
            <w:r/>
            <w:r>
              <w:rPr>
                <w:b w:val="0"/>
              </w:rPr>
              <w:t>Students write one power, one limit, and one promise.</w:t>
            </w:r>
          </w:p>
        </w:tc>
      </w:tr>
      <w:tr>
        <w:tc>
          <w:tcPr>
            <w:tcW w:type="dxa" w:w="1440"/>
            <w:vAlign w:val="top"/>
          </w:tcPr>
          <w:p>
            <w:pPr>
              <w:spacing w:after="0"/>
            </w:pPr>
            <w:r/>
            <w:r>
              <w:rPr>
                <w:b w:val="0"/>
              </w:rPr>
              <w:t>Appendix</w:t>
            </w:r>
          </w:p>
        </w:tc>
        <w:tc>
          <w:tcPr>
            <w:tcW w:type="dxa" w:w="1440"/>
            <w:vAlign w:val="top"/>
          </w:tcPr>
          <w:p>
            <w:pPr>
              <w:spacing w:after="0"/>
            </w:pPr>
            <w:r/>
            <w:r>
              <w:rPr>
                <w:b w:val="0"/>
              </w:rPr>
              <w:t>Slide 20</w:t>
            </w:r>
          </w:p>
        </w:tc>
        <w:tc>
          <w:tcPr>
            <w:tcW w:type="dxa" w:w="3312"/>
            <w:vAlign w:val="top"/>
          </w:tcPr>
          <w:p>
            <w:pPr>
              <w:spacing w:after="0"/>
            </w:pPr>
            <w:r/>
            <w:r>
              <w:rPr>
                <w:b w:val="0"/>
              </w:rPr>
              <w:t>Research base</w:t>
            </w:r>
          </w:p>
        </w:tc>
        <w:tc>
          <w:tcPr>
            <w:tcW w:type="dxa" w:w="4608"/>
            <w:vAlign w:val="top"/>
          </w:tcPr>
          <w:p>
            <w:pPr>
              <w:spacing w:after="0"/>
            </w:pPr>
            <w:r/>
            <w:r>
              <w:rPr>
                <w:b w:val="0"/>
              </w:rPr>
              <w:t>Use for reviewers, not for the student-facing timed lesson unless asked.</w:t>
            </w:r>
          </w:p>
        </w:tc>
      </w:tr>
    </w:tbl>
    <w:p/>
    <w:p>
      <w:pPr>
        <w:pStyle w:val="Heading1"/>
      </w:pPr>
      <w:r>
        <w:t>Main student activity: audit the AI</w:t>
      </w:r>
    </w:p>
    <w:p>
      <w:r>
        <w:t>Prepared AI answer to show students:</w:t>
      </w:r>
    </w:p>
    <w:p>
      <w:pPr>
        <w:pStyle w:val="IntenseQuote"/>
      </w:pPr>
      <w:r>
        <w:t>Artificial intelligence works like a human brain. It understands words, remembers facts, and always chooses the best answer. Large language models read a sentence, think about what it means, and then give the correct response based on everything they know.</w:t>
      </w:r>
    </w:p>
    <w:p>
      <w:r>
        <w:t>Student task: mark one part green for accurate or partly accurate, one part yellow for vague or incomplete, and one part red for needing verification or correction.</w:t>
      </w:r>
    </w:p>
    <w:p>
      <w:pPr>
        <w:pStyle w:val="ListBullet"/>
        <w:spacing w:after="40"/>
      </w:pPr>
      <w:r>
        <w:t>Green or partly accurate: a language model receives text and generates a response.</w:t>
      </w:r>
    </w:p>
    <w:p>
      <w:pPr>
        <w:pStyle w:val="ListBullet"/>
        <w:spacing w:after="40"/>
      </w:pPr>
      <w:r>
        <w:t>Yellow: 'works like a human brain' is a useful analogy, but it is not technically accurate.</w:t>
      </w:r>
    </w:p>
    <w:p>
      <w:pPr>
        <w:pStyle w:val="ListBullet"/>
        <w:spacing w:after="40"/>
      </w:pPr>
      <w:r>
        <w:t>Red: 'always chooses the best answer' and 'correct response' are false. AI can be plausible and wrong.</w:t>
      </w:r>
    </w:p>
    <w:p>
      <w:pPr>
        <w:pStyle w:val="Heading1"/>
      </w:pPr>
      <w:r>
        <w:t>SERVIAM AI Protocol</w:t>
      </w:r>
    </w:p>
    <w:tbl>
      <w:tblPr>
        <w:tblStyle w:val="TableGrid"/>
        <w:tblW w:type="auto" w:w="0"/>
        <w:jc w:val="center"/>
        <w:tblLook w:firstColumn="1" w:firstRow="1" w:lastColumn="0" w:lastRow="0" w:noHBand="0" w:noVBand="1" w:val="04A0"/>
      </w:tblPr>
      <w:tblGrid>
        <w:gridCol w:w="3408"/>
        <w:gridCol w:w="3408"/>
        <w:gridCol w:w="3408"/>
      </w:tblGrid>
      <w:tr>
        <w:tc>
          <w:tcPr>
            <w:tcW w:type="dxa" w:w="864"/>
            <w:shd w:fill="1d4a32"/>
            <w:vAlign w:val="top"/>
          </w:tcPr>
          <w:p>
            <w:pPr>
              <w:spacing w:after="0"/>
            </w:pPr>
            <w:r/>
            <w:r>
              <w:rPr>
                <w:b/>
                <w:color w:val="FFFFFF"/>
              </w:rPr>
              <w:t>Letter</w:t>
            </w:r>
          </w:p>
        </w:tc>
        <w:tc>
          <w:tcPr>
            <w:tcW w:type="dxa" w:w="2880"/>
            <w:shd w:fill="1d4a32"/>
            <w:vAlign w:val="top"/>
          </w:tcPr>
          <w:p>
            <w:pPr>
              <w:spacing w:after="0"/>
            </w:pPr>
            <w:r/>
            <w:r>
              <w:rPr>
                <w:b/>
                <w:color w:val="FFFFFF"/>
              </w:rPr>
              <w:t>Move</w:t>
            </w:r>
          </w:p>
        </w:tc>
        <w:tc>
          <w:tcPr>
            <w:tcW w:type="dxa" w:w="7056"/>
            <w:shd w:fill="1d4a32"/>
            <w:vAlign w:val="top"/>
          </w:tcPr>
          <w:p>
            <w:pPr>
              <w:spacing w:after="0"/>
            </w:pPr>
            <w:r/>
            <w:r>
              <w:rPr>
                <w:b/>
                <w:color w:val="FFFFFF"/>
              </w:rPr>
              <w:t>Student question</w:t>
            </w:r>
          </w:p>
        </w:tc>
      </w:tr>
      <w:tr>
        <w:tc>
          <w:tcPr>
            <w:tcW w:type="dxa" w:w="864"/>
            <w:vAlign w:val="top"/>
          </w:tcPr>
          <w:p>
            <w:pPr>
              <w:spacing w:after="0"/>
            </w:pPr>
            <w:r/>
            <w:r>
              <w:rPr>
                <w:b w:val="0"/>
              </w:rPr>
              <w:t>S</w:t>
            </w:r>
          </w:p>
        </w:tc>
        <w:tc>
          <w:tcPr>
            <w:tcW w:type="dxa" w:w="2880"/>
            <w:vAlign w:val="top"/>
          </w:tcPr>
          <w:p>
            <w:pPr>
              <w:spacing w:after="0"/>
            </w:pPr>
            <w:r/>
            <w:r>
              <w:rPr>
                <w:b w:val="0"/>
              </w:rPr>
              <w:t>Start with your brain</w:t>
            </w:r>
          </w:p>
        </w:tc>
        <w:tc>
          <w:tcPr>
            <w:tcW w:type="dxa" w:w="7056"/>
            <w:vAlign w:val="top"/>
          </w:tcPr>
          <w:p>
            <w:pPr>
              <w:spacing w:after="0"/>
            </w:pPr>
            <w:r/>
            <w:r>
              <w:rPr>
                <w:b w:val="0"/>
              </w:rPr>
              <w:t>What do I already think, know, predict, or wonder?</w:t>
            </w:r>
          </w:p>
        </w:tc>
      </w:tr>
      <w:tr>
        <w:tc>
          <w:tcPr>
            <w:tcW w:type="dxa" w:w="864"/>
            <w:vAlign w:val="top"/>
          </w:tcPr>
          <w:p>
            <w:pPr>
              <w:spacing w:after="0"/>
            </w:pPr>
            <w:r/>
            <w:r>
              <w:rPr>
                <w:b w:val="0"/>
              </w:rPr>
              <w:t>E</w:t>
            </w:r>
          </w:p>
        </w:tc>
        <w:tc>
          <w:tcPr>
            <w:tcW w:type="dxa" w:w="2880"/>
            <w:vAlign w:val="top"/>
          </w:tcPr>
          <w:p>
            <w:pPr>
              <w:spacing w:after="0"/>
            </w:pPr>
            <w:r/>
            <w:r>
              <w:rPr>
                <w:b w:val="0"/>
              </w:rPr>
              <w:t>Examine the purpose</w:t>
            </w:r>
          </w:p>
        </w:tc>
        <w:tc>
          <w:tcPr>
            <w:tcW w:type="dxa" w:w="7056"/>
            <w:vAlign w:val="top"/>
          </w:tcPr>
          <w:p>
            <w:pPr>
              <w:spacing w:after="0"/>
            </w:pPr>
            <w:r/>
            <w:r>
              <w:rPr>
                <w:b w:val="0"/>
              </w:rPr>
              <w:t>Am I learning, creating, clarifying, or avoiding effort?</w:t>
            </w:r>
          </w:p>
        </w:tc>
      </w:tr>
      <w:tr>
        <w:tc>
          <w:tcPr>
            <w:tcW w:type="dxa" w:w="864"/>
            <w:vAlign w:val="top"/>
          </w:tcPr>
          <w:p>
            <w:pPr>
              <w:spacing w:after="0"/>
            </w:pPr>
            <w:r/>
            <w:r>
              <w:rPr>
                <w:b w:val="0"/>
              </w:rPr>
              <w:t>R</w:t>
            </w:r>
          </w:p>
        </w:tc>
        <w:tc>
          <w:tcPr>
            <w:tcW w:type="dxa" w:w="2880"/>
            <w:vAlign w:val="top"/>
          </w:tcPr>
          <w:p>
            <w:pPr>
              <w:spacing w:after="0"/>
            </w:pPr>
            <w:r/>
            <w:r>
              <w:rPr>
                <w:b w:val="0"/>
              </w:rPr>
              <w:t>Require reasoning</w:t>
            </w:r>
          </w:p>
        </w:tc>
        <w:tc>
          <w:tcPr>
            <w:tcW w:type="dxa" w:w="7056"/>
            <w:vAlign w:val="top"/>
          </w:tcPr>
          <w:p>
            <w:pPr>
              <w:spacing w:after="0"/>
            </w:pPr>
            <w:r/>
            <w:r>
              <w:rPr>
                <w:b w:val="0"/>
              </w:rPr>
              <w:t>Can the tool explain steps, assumptions, limits, and uncertainty?</w:t>
            </w:r>
          </w:p>
        </w:tc>
      </w:tr>
      <w:tr>
        <w:tc>
          <w:tcPr>
            <w:tcW w:type="dxa" w:w="864"/>
            <w:vAlign w:val="top"/>
          </w:tcPr>
          <w:p>
            <w:pPr>
              <w:spacing w:after="0"/>
            </w:pPr>
            <w:r/>
            <w:r>
              <w:rPr>
                <w:b w:val="0"/>
              </w:rPr>
              <w:t>V</w:t>
            </w:r>
          </w:p>
        </w:tc>
        <w:tc>
          <w:tcPr>
            <w:tcW w:type="dxa" w:w="2880"/>
            <w:vAlign w:val="top"/>
          </w:tcPr>
          <w:p>
            <w:pPr>
              <w:spacing w:after="0"/>
            </w:pPr>
            <w:r/>
            <w:r>
              <w:rPr>
                <w:b w:val="0"/>
              </w:rPr>
              <w:t>Verify claims</w:t>
            </w:r>
          </w:p>
        </w:tc>
        <w:tc>
          <w:tcPr>
            <w:tcW w:type="dxa" w:w="7056"/>
            <w:vAlign w:val="top"/>
          </w:tcPr>
          <w:p>
            <w:pPr>
              <w:spacing w:after="0"/>
            </w:pPr>
            <w:r/>
            <w:r>
              <w:rPr>
                <w:b w:val="0"/>
              </w:rPr>
              <w:t>What facts, sources, dates, or quotes need checking?</w:t>
            </w:r>
          </w:p>
        </w:tc>
      </w:tr>
      <w:tr>
        <w:tc>
          <w:tcPr>
            <w:tcW w:type="dxa" w:w="864"/>
            <w:vAlign w:val="top"/>
          </w:tcPr>
          <w:p>
            <w:pPr>
              <w:spacing w:after="0"/>
            </w:pPr>
            <w:r/>
            <w:r>
              <w:rPr>
                <w:b w:val="0"/>
              </w:rPr>
              <w:t>I</w:t>
            </w:r>
          </w:p>
        </w:tc>
        <w:tc>
          <w:tcPr>
            <w:tcW w:type="dxa" w:w="2880"/>
            <w:vAlign w:val="top"/>
          </w:tcPr>
          <w:p>
            <w:pPr>
              <w:spacing w:after="0"/>
            </w:pPr>
            <w:r/>
            <w:r>
              <w:rPr>
                <w:b w:val="0"/>
              </w:rPr>
              <w:t>Identify risk</w:t>
            </w:r>
          </w:p>
        </w:tc>
        <w:tc>
          <w:tcPr>
            <w:tcW w:type="dxa" w:w="7056"/>
            <w:vAlign w:val="top"/>
          </w:tcPr>
          <w:p>
            <w:pPr>
              <w:spacing w:after="0"/>
            </w:pPr>
            <w:r/>
            <w:r>
              <w:rPr>
                <w:b w:val="0"/>
              </w:rPr>
              <w:t>Could this include bias, privacy concerns, misinformation, or harm?</w:t>
            </w:r>
          </w:p>
        </w:tc>
      </w:tr>
      <w:tr>
        <w:tc>
          <w:tcPr>
            <w:tcW w:type="dxa" w:w="864"/>
            <w:vAlign w:val="top"/>
          </w:tcPr>
          <w:p>
            <w:pPr>
              <w:spacing w:after="0"/>
            </w:pPr>
            <w:r/>
            <w:r>
              <w:rPr>
                <w:b w:val="0"/>
              </w:rPr>
              <w:t>A</w:t>
            </w:r>
          </w:p>
        </w:tc>
        <w:tc>
          <w:tcPr>
            <w:tcW w:type="dxa" w:w="2880"/>
            <w:vAlign w:val="top"/>
          </w:tcPr>
          <w:p>
            <w:pPr>
              <w:spacing w:after="0"/>
            </w:pPr>
            <w:r/>
            <w:r>
              <w:rPr>
                <w:b w:val="0"/>
              </w:rPr>
              <w:t>Attribute assistance</w:t>
            </w:r>
          </w:p>
        </w:tc>
        <w:tc>
          <w:tcPr>
            <w:tcW w:type="dxa" w:w="7056"/>
            <w:vAlign w:val="top"/>
          </w:tcPr>
          <w:p>
            <w:pPr>
              <w:spacing w:after="0"/>
            </w:pPr>
            <w:r/>
            <w:r>
              <w:rPr>
                <w:b w:val="0"/>
              </w:rPr>
              <w:t>How should I honestly disclose AI help?</w:t>
            </w:r>
          </w:p>
        </w:tc>
      </w:tr>
      <w:tr>
        <w:tc>
          <w:tcPr>
            <w:tcW w:type="dxa" w:w="864"/>
            <w:vAlign w:val="top"/>
          </w:tcPr>
          <w:p>
            <w:pPr>
              <w:spacing w:after="0"/>
            </w:pPr>
            <w:r/>
            <w:r>
              <w:rPr>
                <w:b w:val="0"/>
              </w:rPr>
              <w:t>M</w:t>
            </w:r>
          </w:p>
        </w:tc>
        <w:tc>
          <w:tcPr>
            <w:tcW w:type="dxa" w:w="2880"/>
            <w:vAlign w:val="top"/>
          </w:tcPr>
          <w:p>
            <w:pPr>
              <w:spacing w:after="0"/>
            </w:pPr>
            <w:r/>
            <w:r>
              <w:rPr>
                <w:b w:val="0"/>
              </w:rPr>
              <w:t>Make it serve</w:t>
            </w:r>
          </w:p>
        </w:tc>
        <w:tc>
          <w:tcPr>
            <w:tcW w:type="dxa" w:w="7056"/>
            <w:vAlign w:val="top"/>
          </w:tcPr>
          <w:p>
            <w:pPr>
              <w:spacing w:after="0"/>
            </w:pPr>
            <w:r/>
            <w:r>
              <w:rPr>
                <w:b w:val="0"/>
              </w:rPr>
              <w:t>Does this help me learn, create, contribute, or serve others?</w:t>
            </w:r>
          </w:p>
        </w:tc>
      </w:tr>
    </w:tbl>
    <w:p/>
    <w:p>
      <w:pPr>
        <w:pStyle w:val="Heading1"/>
      </w:pPr>
      <w:r>
        <w:t>Differentiation across grades 7 to 12</w:t>
      </w:r>
    </w:p>
    <w:tbl>
      <w:tblPr>
        <w:tblStyle w:val="TableGrid"/>
        <w:tblW w:type="auto" w:w="0"/>
        <w:jc w:val="center"/>
        <w:tblLook w:firstColumn="1" w:firstRow="1" w:lastColumn="0" w:lastRow="0" w:noHBand="0" w:noVBand="1" w:val="04A0"/>
      </w:tblPr>
      <w:tblGrid>
        <w:gridCol w:w="5112"/>
        <w:gridCol w:w="5112"/>
      </w:tblGrid>
      <w:tr>
        <w:tc>
          <w:tcPr>
            <w:tcW w:type="dxa" w:w="2016"/>
            <w:shd w:fill="1d4a32"/>
            <w:vAlign w:val="top"/>
          </w:tcPr>
          <w:p>
            <w:pPr>
              <w:spacing w:after="0"/>
            </w:pPr>
            <w:r/>
            <w:r>
              <w:rPr>
                <w:b/>
                <w:color w:val="FFFFFF"/>
              </w:rPr>
              <w:t>Band</w:t>
            </w:r>
          </w:p>
        </w:tc>
        <w:tc>
          <w:tcPr>
            <w:tcW w:type="dxa" w:w="8784"/>
            <w:shd w:fill="1d4a32"/>
            <w:vAlign w:val="top"/>
          </w:tcPr>
          <w:p>
            <w:pPr>
              <w:spacing w:after="0"/>
            </w:pPr>
            <w:r/>
            <w:r>
              <w:rPr>
                <w:b/>
                <w:color w:val="FFFFFF"/>
              </w:rPr>
              <w:t>Adjustment</w:t>
            </w:r>
          </w:p>
        </w:tc>
      </w:tr>
      <w:tr>
        <w:tc>
          <w:tcPr>
            <w:tcW w:type="dxa" w:w="2016"/>
            <w:vAlign w:val="top"/>
          </w:tcPr>
          <w:p>
            <w:pPr>
              <w:spacing w:after="0"/>
            </w:pPr>
            <w:r/>
            <w:r>
              <w:rPr>
                <w:b w:val="0"/>
              </w:rPr>
              <w:t>Grades 7 to 8</w:t>
            </w:r>
          </w:p>
        </w:tc>
        <w:tc>
          <w:tcPr>
            <w:tcW w:type="dxa" w:w="8784"/>
            <w:vAlign w:val="top"/>
          </w:tcPr>
          <w:p>
            <w:pPr>
              <w:spacing w:after="0"/>
            </w:pPr>
            <w:r/>
            <w:r>
              <w:rPr>
                <w:b w:val="0"/>
              </w:rPr>
              <w:t>Use no formulas. Emphasize pattern detection, tokens as word pieces, probability as likely next choices, and verification.</w:t>
            </w:r>
          </w:p>
        </w:tc>
      </w:tr>
      <w:tr>
        <w:tc>
          <w:tcPr>
            <w:tcW w:type="dxa" w:w="2016"/>
            <w:vAlign w:val="top"/>
          </w:tcPr>
          <w:p>
            <w:pPr>
              <w:spacing w:after="0"/>
            </w:pPr>
            <w:r/>
            <w:r>
              <w:rPr>
                <w:b w:val="0"/>
              </w:rPr>
              <w:t>Grades 9 to 10</w:t>
            </w:r>
          </w:p>
        </w:tc>
        <w:tc>
          <w:tcPr>
            <w:tcW w:type="dxa" w:w="8784"/>
            <w:vAlign w:val="top"/>
          </w:tcPr>
          <w:p>
            <w:pPr>
              <w:spacing w:after="0"/>
            </w:pPr>
            <w:r/>
            <w:r>
              <w:rPr>
                <w:b w:val="0"/>
              </w:rPr>
              <w:t>Add training data, bias, privacy, model variation, prompt revision, and a stronger math and science connection.</w:t>
            </w:r>
          </w:p>
        </w:tc>
      </w:tr>
      <w:tr>
        <w:tc>
          <w:tcPr>
            <w:tcW w:type="dxa" w:w="2016"/>
            <w:vAlign w:val="top"/>
          </w:tcPr>
          <w:p>
            <w:pPr>
              <w:spacing w:after="0"/>
            </w:pPr>
            <w:r/>
            <w:r>
              <w:rPr>
                <w:b w:val="0"/>
              </w:rPr>
              <w:t>AP CSP</w:t>
            </w:r>
          </w:p>
        </w:tc>
        <w:tc>
          <w:tcPr>
            <w:tcW w:type="dxa" w:w="8784"/>
            <w:vAlign w:val="top"/>
          </w:tcPr>
          <w:p>
            <w:pPr>
              <w:spacing w:after="0"/>
            </w:pPr>
            <w:r/>
            <w:r>
              <w:rPr>
                <w:b w:val="0"/>
              </w:rPr>
              <w:t>Connect to data, algorithms, abstraction, computing impacts, responsible innovation, and human-centered design.</w:t>
            </w:r>
          </w:p>
        </w:tc>
      </w:tr>
      <w:tr>
        <w:tc>
          <w:tcPr>
            <w:tcW w:type="dxa" w:w="2016"/>
            <w:vAlign w:val="top"/>
          </w:tcPr>
          <w:p>
            <w:pPr>
              <w:spacing w:after="0"/>
            </w:pPr>
            <w:r/>
            <w:r>
              <w:rPr>
                <w:b w:val="0"/>
              </w:rPr>
              <w:t>AP CSA or advanced CS</w:t>
            </w:r>
          </w:p>
        </w:tc>
        <w:tc>
          <w:tcPr>
            <w:tcW w:type="dxa" w:w="8784"/>
            <w:vAlign w:val="top"/>
          </w:tcPr>
          <w:p>
            <w:pPr>
              <w:spacing w:after="0"/>
            </w:pPr>
            <w:r/>
            <w:r>
              <w:rPr>
                <w:b w:val="0"/>
              </w:rPr>
              <w:t>Extend to vectors, embeddings, matrices, attention weights, error reduction, evaluation, and model limitations.</w:t>
            </w:r>
          </w:p>
        </w:tc>
      </w:tr>
    </w:tbl>
    <w:p/>
    <w:p>
      <w:pPr>
        <w:pStyle w:val="Heading1"/>
      </w:pPr>
      <w:r>
        <w:t>Assessment</w:t>
      </w:r>
    </w:p>
    <w:p>
      <w:pPr>
        <w:pStyle w:val="ListBullet"/>
        <w:spacing w:after="40"/>
      </w:pPr>
      <w:r>
        <w:t>Exit ticket: One power, one limit, one promise.</w:t>
      </w:r>
    </w:p>
    <w:p>
      <w:pPr>
        <w:pStyle w:val="ListBullet"/>
        <w:spacing w:after="40"/>
      </w:pPr>
      <w:r>
        <w:t>Teacher observation: Did students explain why an AI output needed verification?</w:t>
      </w:r>
    </w:p>
    <w:p>
      <w:pPr>
        <w:pStyle w:val="ListBullet"/>
        <w:spacing w:after="40"/>
      </w:pPr>
      <w:r>
        <w:t>Prompt surgery: Did students improve the prompt in ways that asked for audience, steps, limits, and uncertainty?</w:t>
      </w:r>
    </w:p>
    <w:p>
      <w:pPr>
        <w:pStyle w:val="ListBullet"/>
        <w:spacing w:after="40"/>
      </w:pPr>
      <w:r>
        <w:t>SERVIAM application: Did students distinguish learning support from integrity replacement?</w:t>
      </w:r>
    </w:p>
    <w:p>
      <w:pPr>
        <w:pStyle w:val="Heading1"/>
      </w:pPr>
      <w:r>
        <w:t>Standards and framework alignment</w:t>
      </w:r>
    </w:p>
    <w:p>
      <w:pPr>
        <w:pStyle w:val="ListBullet"/>
        <w:spacing w:after="40"/>
      </w:pPr>
      <w:r>
        <w:t>CSTA AI Learning Priorities: Humans and AI, representation and reasoning, machine learning, ethical AI system design and programming, societal impacts.</w:t>
      </w:r>
    </w:p>
    <w:p>
      <w:pPr>
        <w:pStyle w:val="ListBullet"/>
        <w:spacing w:after="40"/>
      </w:pPr>
      <w:r>
        <w:t>AI4K12 Five Big Ideas: perception, representation and reasoning, learning, natural interaction, societal impact.</w:t>
      </w:r>
    </w:p>
    <w:p>
      <w:pPr>
        <w:pStyle w:val="ListBullet"/>
        <w:spacing w:after="40"/>
      </w:pPr>
      <w:r>
        <w:t>AP CSP alignment: data, algorithms, computing impacts, abstraction, digital responsibility.</w:t>
      </w:r>
    </w:p>
    <w:p>
      <w:pPr>
        <w:pStyle w:val="ListBullet"/>
        <w:spacing w:after="40"/>
      </w:pPr>
      <w:r>
        <w:t>AP CSA extension: algorithmic thinking, program analysis, debugging, abstraction, ethical tool use.</w:t>
      </w:r>
    </w:p>
    <w:p>
      <w:pPr>
        <w:pStyle w:val="ListBullet"/>
        <w:spacing w:after="40"/>
      </w:pPr>
      <w:r>
        <w:t>Ursuline alignment: Serviam, intellectual curiosity, integrity, active learning, I.D.E.A. Hub, coding, robotics, empowered digital citizenship.</w:t>
      </w:r>
    </w:p>
    <w:p>
      <w:pPr>
        <w:pStyle w:val="Heading1"/>
      </w:pPr>
      <w:r>
        <w:t>Why this works as a teaching audition</w:t>
      </w:r>
    </w:p>
    <w:p>
      <w:pPr>
        <w:pStyle w:val="ListBullet"/>
        <w:spacing w:after="40"/>
      </w:pPr>
      <w:r>
        <w:t>It answers the requested content without trying to teach an entire AI course in 20 minutes.</w:t>
      </w:r>
    </w:p>
    <w:p>
      <w:pPr>
        <w:pStyle w:val="ListBullet"/>
        <w:spacing w:after="40"/>
      </w:pPr>
      <w:r>
        <w:t>It shows student engagement through prediction, discussion, audit, decision-making, and reflection.</w:t>
      </w:r>
    </w:p>
    <w:p>
      <w:pPr>
        <w:pStyle w:val="ListBullet"/>
        <w:spacing w:after="40"/>
      </w:pPr>
      <w:r>
        <w:t>It explains internal AI mechanics accurately and accessibly.</w:t>
      </w:r>
    </w:p>
    <w:p>
      <w:pPr>
        <w:pStyle w:val="ListBullet"/>
        <w:spacing w:after="40"/>
      </w:pPr>
      <w:r>
        <w:t>It embeds critical thinking as a student task rather than only a teacher statement.</w:t>
      </w:r>
    </w:p>
    <w:p>
      <w:pPr>
        <w:pStyle w:val="ListBullet"/>
        <w:spacing w:after="40"/>
      </w:pPr>
      <w:r>
        <w:t>It makes Serviam practical through a decision protocol, not decorative through a slogan.</w:t>
      </w:r>
    </w:p>
    <w:p>
      <w:pPr>
        <w:pStyle w:val="ListBullet"/>
        <w:spacing w:after="40"/>
      </w:pPr>
      <w:r>
        <w:t>It leaves leaders with a clear sense of how the lesson scales into CS, math, science, ethics, and an AI pathway.</w:t>
      </w:r>
    </w:p>
    <w:p>
      <w:pPr>
        <w:pStyle w:val="Heading1"/>
      </w:pPr>
      <w:r>
        <w:t>Source note</w:t>
      </w:r>
    </w:p>
    <w:p>
      <w:r>
        <w:t>Full citation details are included in the companion Research Source Map and in the student Gamma deck speaker notes. Key sources include Ursuline Academy's official mission and technology pages, Stanford HAI AI Index 2026, Google ML Crash Course, CSTA, AI4K12, UNESCO, OECD, NIST, EEF, NAIS, Massachusetts DESE, and peer-school AI examples from Andover, Exeter, Lawrenceville, Castilleja, Hockaday, Marlborough, and Catholic-school AI guidance.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4A3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A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D4A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