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Georgia" w:hAnsi="Georgia"/>
          <w:b/>
          <w:color w:val="003F35"/>
          <w:sz w:val="44"/>
        </w:rPr>
        <w:t>Inside AI Student Lab Sheet</w:t>
      </w:r>
    </w:p>
    <w:p>
      <w:pPr>
        <w:spacing w:after="160"/>
      </w:pPr>
      <w:r>
        <w:rPr>
          <w:rFonts w:ascii="Aptos" w:hAnsi="Aptos"/>
          <w:i/>
          <w:color w:val="616E69"/>
          <w:sz w:val="20"/>
        </w:rPr>
        <w:t>A 10th/11th-grade extension to AI, the Brain, and Serviam</w:t>
      </w:r>
    </w:p>
    <w:p>
      <w:pPr>
        <w:spacing w:before="0" w:after="120"/>
        <w:pBdr>
          <w:bottom w:val="single" w:sz="10" w:space="1" w:color="005C4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7F4EE"/>
            <w:tcBorders>
              <w:top w:val="single" w:sz="8" w:space="0" w:color="D8E1DD"/>
              <w:left w:val="single" w:sz="8" w:space="0" w:color="D8E1DD"/>
              <w:bottom w:val="single" w:sz="8" w:space="0" w:color="D8E1DD"/>
              <w:right w:val="single" w:sz="8" w:space="0" w:color="D8E1DD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003F35"/>
                <w:sz w:val="19"/>
              </w:rPr>
              <w:t>Big idea</w:t>
            </w:r>
          </w:p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i w:val="0"/>
                <w:color w:val="17231F"/>
                <w:sz w:val="18"/>
              </w:rPr>
              <w:t>AI is not magic. It is math trained on patterns. Human wisdom decides whether, when, and how to use it.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color w:val="005C49"/>
          <w:sz w:val="26"/>
        </w:rPr>
        <w:t>The pathway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8F2EE"/>
            <w:tcBorders>
              <w:top w:val="single" w:sz="8" w:space="0" w:color="005C49"/>
              <w:left w:val="single" w:sz="8" w:space="0" w:color="005C49"/>
              <w:bottom w:val="single" w:sz="8" w:space="0" w:color="005C49"/>
              <w:right w:val="single" w:sz="8" w:space="0" w:color="005C49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003F35"/>
                <w:sz w:val="19"/>
              </w:rPr>
              <w:t>What happens after you press Enter?</w:t>
            </w:r>
          </w:p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i w:val="0"/>
                <w:color w:val="17231F"/>
                <w:sz w:val="18"/>
              </w:rPr>
              <w:t>Prompt -&gt; Tokens -&gt; Token IDs -&gt; Vectors -&gt; Weights -&gt; Loss -&gt; Probability -&gt; Attention -&gt; Response -&gt; Human Review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color w:val="005C49"/>
          <w:sz w:val="26"/>
        </w:rPr>
        <w:t>Core terms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800"/>
            <w:shd w:fill="005C49"/>
            <w:tcBorders>
              <w:top w:val="single" w:sz="6" w:space="0" w:color="005C49"/>
              <w:left w:val="single" w:sz="6" w:space="0" w:color="005C49"/>
              <w:bottom w:val="single" w:sz="6" w:space="0" w:color="005C49"/>
              <w:right w:val="single" w:sz="6" w:space="0" w:color="005C4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Term</w:t>
            </w:r>
          </w:p>
        </w:tc>
        <w:tc>
          <w:tcPr>
            <w:tcW w:type="dxa" w:w="6192"/>
            <w:shd w:fill="005C49"/>
            <w:tcBorders>
              <w:top w:val="single" w:sz="6" w:space="0" w:color="005C49"/>
              <w:left w:val="single" w:sz="6" w:space="0" w:color="005C49"/>
              <w:bottom w:val="single" w:sz="6" w:space="0" w:color="005C49"/>
              <w:right w:val="single" w:sz="6" w:space="0" w:color="005C4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Student-friendly meaning</w:t>
            </w:r>
          </w:p>
        </w:tc>
        <w:tc>
          <w:tcPr>
            <w:tcW w:type="dxa" w:w="2304"/>
            <w:shd w:fill="005C49"/>
            <w:tcBorders>
              <w:top w:val="single" w:sz="6" w:space="0" w:color="005C49"/>
              <w:left w:val="single" w:sz="6" w:space="0" w:color="005C49"/>
              <w:bottom w:val="single" w:sz="6" w:space="0" w:color="005C49"/>
              <w:right w:val="single" w:sz="6" w:space="0" w:color="005C4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Math or CS link</w:t>
            </w:r>
          </w:p>
        </w:tc>
      </w:tr>
      <w:tr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5"/>
              </w:rPr>
              <w:t>Token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5"/>
              </w:rPr>
              <w:t>A chunk of text, such as a word, subword, punctuation mark, or character.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5"/>
              </w:rPr>
              <w:t>Text processing</w:t>
            </w:r>
          </w:p>
        </w:tc>
      </w:tr>
      <w:tr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5"/>
              </w:rPr>
              <w:t>Token ID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5"/>
              </w:rPr>
              <w:t>A number assigned to a token so the computer can process it.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5"/>
              </w:rPr>
              <w:t>Data representation</w:t>
            </w:r>
          </w:p>
        </w:tc>
      </w:tr>
      <w:tr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5"/>
              </w:rPr>
              <w:t>Vector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5"/>
              </w:rPr>
              <w:t>A list of numbers. Example: robot = [0.12, -0.44, 0.81, ...]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5"/>
              </w:rPr>
              <w:t>Arrays and geometry</w:t>
            </w:r>
          </w:p>
        </w:tc>
      </w:tr>
      <w:tr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5"/>
              </w:rPr>
              <w:t>Embedding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5"/>
              </w:rPr>
              <w:t>A vector that helps represent relationships learned from data.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5"/>
              </w:rPr>
              <w:t>Similarity search</w:t>
            </w:r>
          </w:p>
        </w:tc>
      </w:tr>
      <w:tr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5"/>
              </w:rPr>
              <w:t>Weight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5"/>
              </w:rPr>
              <w:t>A number that controls how strongly one input affects the next step.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5"/>
              </w:rPr>
              <w:t>Weighted sum</w:t>
            </w:r>
          </w:p>
        </w:tc>
      </w:tr>
      <w:tr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5"/>
              </w:rPr>
              <w:t>Loss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5"/>
              </w:rPr>
              <w:t>A score for how far the model output was from the target output.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5"/>
              </w:rPr>
              <w:t>Error measurement</w:t>
            </w:r>
          </w:p>
        </w:tc>
      </w:tr>
      <w:tr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5"/>
              </w:rPr>
              <w:t>Softmax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5"/>
              </w:rPr>
              <w:t>A step that turns scores into probabilities that add up to 1.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5"/>
              </w:rPr>
              <w:t>Probability distribution</w:t>
            </w:r>
          </w:p>
        </w:tc>
      </w:tr>
      <w:tr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5"/>
              </w:rPr>
              <w:t>Attention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5"/>
              </w:rPr>
              <w:t>A weighting method that helps the model decide which words matter most in context.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5"/>
              </w:rPr>
              <w:t>Context relationships</w:t>
            </w:r>
          </w:p>
        </w:tc>
      </w:tr>
      <w:tr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5"/>
              </w:rPr>
              <w:t>Loop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5"/>
              </w:rPr>
              <w:t>A repeated set of steps. A base language model predicts, adds, and continues.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5"/>
              </w:rPr>
              <w:t>Pseudocode</w:t>
            </w:r>
          </w:p>
        </w:tc>
      </w:tr>
      <w:tr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5"/>
              </w:rPr>
              <w:t>Human review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5"/>
              </w:rPr>
              <w:t>The final check for accuracy, privacy, fairness, and purpose.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5"/>
              </w:rPr>
              <w:t>Responsible use</w:t>
            </w:r>
          </w:p>
        </w:tc>
      </w:tr>
    </w:tbl>
    <w:p>
      <w:r>
        <w:br w:type="page"/>
      </w:r>
    </w:p>
    <w:p>
      <w:pPr>
        <w:pStyle w:val="Heading2"/>
        <w:spacing w:before="120" w:after="80"/>
      </w:pPr>
      <w:r>
        <w:rPr>
          <w:rFonts w:ascii="Georgia" w:hAnsi="Georgia"/>
          <w:b/>
          <w:color w:val="005C49"/>
          <w:sz w:val="26"/>
        </w:rPr>
        <w:t>Three simple models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800"/>
            <w:shd w:fill="003F35"/>
            <w:tcBorders>
              <w:top w:val="single" w:sz="6" w:space="0" w:color="003F35"/>
              <w:left w:val="single" w:sz="6" w:space="0" w:color="003F35"/>
              <w:bottom w:val="single" w:sz="6" w:space="0" w:color="003F35"/>
              <w:right w:val="single" w:sz="6" w:space="0" w:color="003F3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Idea</w:t>
            </w:r>
          </w:p>
        </w:tc>
        <w:tc>
          <w:tcPr>
            <w:tcW w:type="dxa" w:w="3312"/>
            <w:shd w:fill="003F35"/>
            <w:tcBorders>
              <w:top w:val="single" w:sz="6" w:space="0" w:color="003F35"/>
              <w:left w:val="single" w:sz="6" w:space="0" w:color="003F35"/>
              <w:bottom w:val="single" w:sz="6" w:space="0" w:color="003F35"/>
              <w:right w:val="single" w:sz="6" w:space="0" w:color="003F3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Model</w:t>
            </w:r>
          </w:p>
        </w:tc>
        <w:tc>
          <w:tcPr>
            <w:tcW w:type="dxa" w:w="5184"/>
            <w:shd w:fill="003F35"/>
            <w:tcBorders>
              <w:top w:val="single" w:sz="6" w:space="0" w:color="003F35"/>
              <w:left w:val="single" w:sz="6" w:space="0" w:color="003F35"/>
              <w:bottom w:val="single" w:sz="6" w:space="0" w:color="003F35"/>
              <w:right w:val="single" w:sz="6" w:space="0" w:color="003F3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Function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f(x) = y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Input -&gt; model -&gt; output</w:t>
            </w:r>
          </w:p>
        </w:tc>
      </w:tr>
      <w:tr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Weighted sum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z = w1*x1 + w2*x2 + b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Weights decide which signals matter more</w:t>
            </w:r>
          </w:p>
        </w:tc>
      </w:tr>
      <w:tr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Attention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compare -&gt; weight -&gt; combine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The model weights relationships in context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color w:val="005C49"/>
          <w:sz w:val="26"/>
        </w:rPr>
        <w:t>Website simulation 1: Tokens and Similarity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1584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5-22 at 8.34.27 P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58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ptos" w:hAnsi="Aptos"/>
          <w:i/>
          <w:color w:val="616E69"/>
          <w:sz w:val="15"/>
        </w:rPr>
        <w:t>Simulation 1 shows token chips, vector clusters, and cosine similarity. Use it to compare related and unrelated terms.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08"/>
            <w:shd w:fill="005C49"/>
            <w:tcBorders>
              <w:top w:val="single" w:sz="6" w:space="0" w:color="005C49"/>
              <w:left w:val="single" w:sz="6" w:space="0" w:color="005C49"/>
              <w:bottom w:val="single" w:sz="6" w:space="0" w:color="005C49"/>
              <w:right w:val="single" w:sz="6" w:space="0" w:color="005C4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Step</w:t>
            </w:r>
          </w:p>
        </w:tc>
        <w:tc>
          <w:tcPr>
            <w:tcW w:type="dxa" w:w="8928"/>
            <w:shd w:fill="005C49"/>
            <w:tcBorders>
              <w:top w:val="single" w:sz="6" w:space="0" w:color="005C49"/>
              <w:left w:val="single" w:sz="6" w:space="0" w:color="005C49"/>
              <w:bottom w:val="single" w:sz="6" w:space="0" w:color="005C49"/>
              <w:right w:val="single" w:sz="6" w:space="0" w:color="005C4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Student task</w:t>
            </w:r>
          </w:p>
        </w:tc>
      </w:tr>
      <w:tr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7"/>
              </w:rPr>
              <w:t>1</w:t>
            </w:r>
          </w:p>
        </w:tc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7"/>
              </w:rPr>
              <w:t>Choose code and algorithm. Record the cosine similarity.</w:t>
            </w:r>
          </w:p>
        </w:tc>
      </w:tr>
      <w:tr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7"/>
              </w:rPr>
              <w:t>2</w:t>
            </w:r>
          </w:p>
        </w:tc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7"/>
              </w:rPr>
              <w:t>Change Token B to cupcake. What happens to similarity?</w:t>
            </w:r>
          </w:p>
        </w:tc>
      </w:tr>
      <w:tr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7"/>
              </w:rPr>
              <w:t>3</w:t>
            </w:r>
          </w:p>
        </w:tc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7"/>
              </w:rPr>
              <w:t>Explain why code and algorithm cluster closer than code and cupcake.</w:t>
            </w:r>
          </w:p>
        </w:tc>
      </w:tr>
      <w:tr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7"/>
              </w:rPr>
              <w:t>4</w:t>
            </w:r>
          </w:p>
        </w:tc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7"/>
              </w:rPr>
              <w:t>Use the word justice. Which cluster would it belong near: code, robotics, or service? Defend your answer.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color w:val="005C49"/>
          <w:sz w:val="26"/>
        </w:rPr>
        <w:t>Website simulation 2: Weights and Loss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8081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5-22 at 8.34.37 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08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ptos" w:hAnsi="Aptos"/>
          <w:i/>
          <w:color w:val="616E69"/>
          <w:sz w:val="15"/>
        </w:rPr>
        <w:t>Simulation 2 shows sliders for inputs and weights, then visualizes prediction, error, and loss.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08"/>
            <w:shd w:fill="005C49"/>
            <w:tcBorders>
              <w:top w:val="single" w:sz="6" w:space="0" w:color="005C49"/>
              <w:left w:val="single" w:sz="6" w:space="0" w:color="005C49"/>
              <w:bottom w:val="single" w:sz="6" w:space="0" w:color="005C49"/>
              <w:right w:val="single" w:sz="6" w:space="0" w:color="005C4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Step</w:t>
            </w:r>
          </w:p>
        </w:tc>
        <w:tc>
          <w:tcPr>
            <w:tcW w:type="dxa" w:w="8928"/>
            <w:shd w:fill="005C49"/>
            <w:tcBorders>
              <w:top w:val="single" w:sz="6" w:space="0" w:color="005C49"/>
              <w:left w:val="single" w:sz="6" w:space="0" w:color="005C49"/>
              <w:bottom w:val="single" w:sz="6" w:space="0" w:color="005C49"/>
              <w:right w:val="single" w:sz="6" w:space="0" w:color="005C4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Student task</w:t>
            </w:r>
          </w:p>
        </w:tc>
      </w:tr>
      <w:tr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7"/>
              </w:rPr>
              <w:t>1</w:t>
            </w:r>
          </w:p>
        </w:tc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7"/>
              </w:rPr>
              <w:t>Set evidence strength and cross-checks high. Predict whether loss should be high or low.</w:t>
            </w:r>
          </w:p>
        </w:tc>
      </w:tr>
      <w:tr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7"/>
              </w:rPr>
              <w:t>2</w:t>
            </w:r>
          </w:p>
        </w:tc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7"/>
              </w:rPr>
              <w:t>Change one weight. What happens to prediction, error, and loss?</w:t>
            </w:r>
          </w:p>
        </w:tc>
      </w:tr>
      <w:tr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7"/>
              </w:rPr>
              <w:t>3</w:t>
            </w:r>
          </w:p>
        </w:tc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7"/>
              </w:rPr>
              <w:t>Run 1 step, then 20 steps. What changes after training?</w:t>
            </w:r>
          </w:p>
        </w:tc>
      </w:tr>
      <w:tr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7"/>
              </w:rPr>
              <w:t>4</w:t>
            </w:r>
          </w:p>
        </w:tc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7"/>
              </w:rPr>
              <w:t>Write one sentence connecting training to feedback and revision.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color w:val="005C49"/>
          <w:sz w:val="26"/>
        </w:rPr>
        <w:t>Exit ticket: explain how AI works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7F4EE"/>
            <w:tcBorders>
              <w:top w:val="single" w:sz="8" w:space="0" w:color="D8E1DD"/>
              <w:left w:val="single" w:sz="8" w:space="0" w:color="D8E1DD"/>
              <w:bottom w:val="single" w:sz="8" w:space="0" w:color="D8E1DD"/>
              <w:right w:val="single" w:sz="8" w:space="0" w:color="D8E1DD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003F35"/>
                <w:sz w:val="19"/>
              </w:rPr>
              <w:t>4 to 5 sentence challenge</w:t>
            </w:r>
          </w:p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i w:val="0"/>
                <w:color w:val="17231F"/>
                <w:sz w:val="18"/>
              </w:rPr>
              <w:t>Explain how AI creates a response. Include one math idea, one computer science idea, one science/testing idea, and one reason human review still matters.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024"/>
            <w:shd w:fill="003F35"/>
            <w:tcBorders>
              <w:top w:val="single" w:sz="6" w:space="0" w:color="003F35"/>
              <w:left w:val="single" w:sz="6" w:space="0" w:color="003F35"/>
              <w:bottom w:val="single" w:sz="6" w:space="0" w:color="003F35"/>
              <w:right w:val="single" w:sz="6" w:space="0" w:color="003F3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Sentence starter</w:t>
            </w:r>
          </w:p>
        </w:tc>
        <w:tc>
          <w:tcPr>
            <w:tcW w:type="dxa" w:w="7056"/>
            <w:shd w:fill="003F35"/>
            <w:tcBorders>
              <w:top w:val="single" w:sz="6" w:space="0" w:color="003F35"/>
              <w:left w:val="single" w:sz="6" w:space="0" w:color="003F35"/>
              <w:bottom w:val="single" w:sz="6" w:space="0" w:color="003F35"/>
              <w:right w:val="single" w:sz="6" w:space="0" w:color="003F3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Your explanation</w:t>
            </w:r>
          </w:p>
        </w:tc>
      </w:tr>
      <w:tr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AI starts by...</w:t>
            </w:r>
          </w:p>
        </w:tc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__________________________________________________________________</w:t>
            </w:r>
          </w:p>
        </w:tc>
      </w:tr>
      <w:tr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The math part is...</w:t>
            </w:r>
          </w:p>
        </w:tc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__________________________________________________________________</w:t>
            </w:r>
          </w:p>
        </w:tc>
      </w:tr>
      <w:tr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The computer science part is...</w:t>
            </w:r>
          </w:p>
        </w:tc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__________________________________________________________________</w:t>
            </w:r>
          </w:p>
        </w:tc>
      </w:tr>
      <w:tr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The model generates by...</w:t>
            </w:r>
          </w:p>
        </w:tc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__________________________________________________________________</w:t>
            </w:r>
          </w:p>
        </w:tc>
      </w:tr>
      <w:tr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A human still needs to review because...</w:t>
            </w:r>
          </w:p>
        </w:tc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__________________________________________________________________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16E69"/>
        <w:sz w:val="15"/>
      </w:rPr>
      <w:t>AI is not magic. It is math trained on patterns. Human wisdom decides whether, when, and how to use it. · Serviam: I will serve.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220"/>
      <w:gridCol w:w="5220"/>
    </w:tblGrid>
    <w:tr>
      <w:tc>
        <w:tcPr>
          <w:tcW w:type="dxa" w:w="8064"/>
          <w:shd w:fill="005C49"/>
          <w:tcMar>
            <w:top w:w="60" w:type="dxa"/>
            <w:bottom w:w="60" w:type="dxa"/>
            <w:left w:w="120" w:type="dxa"/>
            <w:right w:w="120" w:type="dxa"/>
          </w:tcMar>
          <w:tcBorders>
            <w:top w:val="single" w:sz="0" w:space="0" w:color="005C49"/>
            <w:left w:val="single" w:sz="0" w:space="0" w:color="005C49"/>
            <w:bottom w:val="single" w:sz="0" w:space="0" w:color="005C49"/>
            <w:right w:val="single" w:sz="0" w:space="0" w:color="005C49"/>
          </w:tcBorders>
        </w:tcPr>
        <w:p>
          <w:pPr>
            <w:spacing w:after="0"/>
          </w:pPr>
          <w:r>
            <w:rPr>
              <w:rFonts w:ascii="Aptos" w:hAnsi="Aptos"/>
              <w:b/>
              <w:color w:val="FFFFFF"/>
              <w:sz w:val="16"/>
            </w:rPr>
            <w:t>URSULINE ACADEMY · I.D.E.A. HUB</w:t>
          </w:r>
        </w:p>
      </w:tc>
      <w:tc>
        <w:tcPr>
          <w:tcW w:type="dxa" w:w="2376"/>
          <w:shd w:fill="005C49"/>
          <w:tcMar>
            <w:top w:w="60" w:type="dxa"/>
            <w:bottom w:w="60" w:type="dxa"/>
            <w:left w:w="120" w:type="dxa"/>
            <w:right w:w="120" w:type="dxa"/>
          </w:tcMar>
          <w:tcBorders>
            <w:top w:val="single" w:sz="0" w:space="0" w:color="005C49"/>
            <w:left w:val="single" w:sz="0" w:space="0" w:color="005C49"/>
            <w:bottom w:val="single" w:sz="0" w:space="0" w:color="005C49"/>
            <w:right w:val="single" w:sz="0" w:space="0" w:color="005C49"/>
          </w:tcBorders>
        </w:tcPr>
        <w:p>
          <w:pPr>
            <w:spacing w:after="0"/>
            <w:jc w:val="right"/>
          </w:pPr>
          <w:r>
            <w:rPr>
              <w:rFonts w:ascii="Aptos" w:hAnsi="Aptos"/>
              <w:b/>
              <w:color w:val="FFFFFF"/>
              <w:sz w:val="16"/>
            </w:rPr>
            <w:t>STUDENT HANDOUT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31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03F3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05C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10223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