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Inside AI: The Math, Science, and Code Behind Intelligent Tools</w:t>
      </w:r>
    </w:p>
    <w:p>
      <w:pPr>
        <w:jc w:val="center"/>
      </w:pPr>
      <w:r>
        <w:rPr>
          <w:i/>
        </w:rPr>
        <w:t>15 to 20 Minute Student-Facing Supplemental Lesson for Ursuline Academy, Dedham</w:t>
      </w:r>
    </w:p>
    <w:p>
      <w:pPr>
        <w:pStyle w:val="Heading1"/>
      </w:pPr>
      <w:r>
        <w:t>Lesson snapshot</w:t>
      </w:r>
    </w:p>
    <w:tbl>
      <w:tblPr>
        <w:tblStyle w:val="TableGrid"/>
        <w:tblW w:type="auto" w:w="0"/>
        <w:jc w:val="center"/>
        <w:tblLook w:firstColumn="1" w:firstRow="1" w:lastColumn="0" w:lastRow="0" w:noHBand="0" w:noVBand="1" w:val="04A0"/>
      </w:tblPr>
      <w:tblGrid>
        <w:gridCol w:w="5112"/>
        <w:gridCol w:w="5112"/>
      </w:tblGrid>
      <w:tr>
        <w:tc>
          <w:tcPr>
            <w:tcW w:type="dxa" w:w="2448"/>
            <w:shd w:fill="D9EAD3"/>
            <w:vAlign w:val="center"/>
          </w:tcPr>
          <w:p>
            <w:r/>
            <w:r>
              <w:rPr>
                <w:b/>
                <w:sz w:val="18"/>
              </w:rPr>
              <w:t>Category</w:t>
            </w:r>
          </w:p>
        </w:tc>
        <w:tc>
          <w:tcPr>
            <w:tcW w:type="dxa" w:w="8208"/>
            <w:shd w:fill="D9EAD3"/>
            <w:vAlign w:val="center"/>
          </w:tcPr>
          <w:p>
            <w:r/>
            <w:r>
              <w:rPr>
                <w:b/>
                <w:sz w:val="18"/>
              </w:rPr>
              <w:t>Plan</w:t>
            </w:r>
          </w:p>
        </w:tc>
      </w:tr>
      <w:tr>
        <w:tc>
          <w:tcPr>
            <w:tcW w:type="dxa" w:w="2448"/>
            <w:vAlign w:val="top"/>
          </w:tcPr>
          <w:p>
            <w:r/>
            <w:r>
              <w:rPr>
                <w:b w:val="0"/>
                <w:sz w:val="18"/>
              </w:rPr>
              <w:t>Course or context</w:t>
            </w:r>
          </w:p>
        </w:tc>
        <w:tc>
          <w:tcPr>
            <w:tcW w:type="dxa" w:w="8208"/>
            <w:vAlign w:val="top"/>
          </w:tcPr>
          <w:p>
            <w:r/>
            <w:r>
              <w:rPr>
                <w:b w:val="0"/>
                <w:sz w:val="18"/>
              </w:rPr>
              <w:t>Grades 10 and 11. Computer science, math, science, AI literacy extension, AP CSP bridge, AP CSA bridge, or interdisciplinary STEM seminar.</w:t>
            </w:r>
          </w:p>
        </w:tc>
      </w:tr>
      <w:tr>
        <w:tc>
          <w:tcPr>
            <w:tcW w:type="dxa" w:w="2448"/>
            <w:vAlign w:val="top"/>
          </w:tcPr>
          <w:p>
            <w:r/>
            <w:r>
              <w:rPr>
                <w:b w:val="0"/>
                <w:sz w:val="18"/>
              </w:rPr>
              <w:t>Length</w:t>
            </w:r>
          </w:p>
        </w:tc>
        <w:tc>
          <w:tcPr>
            <w:tcW w:type="dxa" w:w="8208"/>
            <w:vAlign w:val="top"/>
          </w:tcPr>
          <w:p>
            <w:r/>
            <w:r>
              <w:rPr>
                <w:b w:val="0"/>
                <w:sz w:val="18"/>
              </w:rPr>
              <w:t>15 to 20 minutes. This is a focused extension, not a full AI or machine learning unit.</w:t>
            </w:r>
          </w:p>
        </w:tc>
      </w:tr>
      <w:tr>
        <w:tc>
          <w:tcPr>
            <w:tcW w:type="dxa" w:w="2448"/>
            <w:vAlign w:val="top"/>
          </w:tcPr>
          <w:p>
            <w:r/>
            <w:r>
              <w:rPr>
                <w:b w:val="0"/>
                <w:sz w:val="18"/>
              </w:rPr>
              <w:t>Audience</w:t>
            </w:r>
          </w:p>
        </w:tc>
        <w:tc>
          <w:tcPr>
            <w:tcW w:type="dxa" w:w="8208"/>
            <w:vAlign w:val="top"/>
          </w:tcPr>
          <w:p>
            <w:r/>
            <w:r>
              <w:rPr>
                <w:b w:val="0"/>
                <w:sz w:val="18"/>
              </w:rPr>
              <w:t>Student-facing, reviewed by school leaders. Designed for Ursuline girls with AP extension notes available.</w:t>
            </w:r>
          </w:p>
        </w:tc>
      </w:tr>
      <w:tr>
        <w:tc>
          <w:tcPr>
            <w:tcW w:type="dxa" w:w="2448"/>
            <w:vAlign w:val="top"/>
          </w:tcPr>
          <w:p>
            <w:r/>
            <w:r>
              <w:rPr>
                <w:b w:val="0"/>
                <w:sz w:val="18"/>
              </w:rPr>
              <w:t>Essential question</w:t>
            </w:r>
          </w:p>
        </w:tc>
        <w:tc>
          <w:tcPr>
            <w:tcW w:type="dxa" w:w="8208"/>
            <w:vAlign w:val="top"/>
          </w:tcPr>
          <w:p>
            <w:r/>
            <w:r>
              <w:rPr>
                <w:b w:val="0"/>
                <w:sz w:val="18"/>
              </w:rPr>
              <w:t>How does AI turn words into numbers, use patterns, and generate a response that still needs human review?</w:t>
            </w:r>
          </w:p>
        </w:tc>
      </w:tr>
      <w:tr>
        <w:tc>
          <w:tcPr>
            <w:tcW w:type="dxa" w:w="2448"/>
            <w:vAlign w:val="top"/>
          </w:tcPr>
          <w:p>
            <w:r/>
            <w:r>
              <w:rPr>
                <w:b w:val="0"/>
                <w:sz w:val="18"/>
              </w:rPr>
              <w:t>Core thesis</w:t>
            </w:r>
          </w:p>
        </w:tc>
        <w:tc>
          <w:tcPr>
            <w:tcW w:type="dxa" w:w="8208"/>
            <w:vAlign w:val="top"/>
          </w:tcPr>
          <w:p>
            <w:r/>
            <w:r>
              <w:rPr>
                <w:b w:val="0"/>
                <w:sz w:val="18"/>
              </w:rPr>
              <w:t>AI is not magic. It is math trained on patterns. Human wisdom decides whether, when, and how to use it.</w:t>
            </w:r>
          </w:p>
        </w:tc>
      </w:tr>
      <w:tr>
        <w:tc>
          <w:tcPr>
            <w:tcW w:type="dxa" w:w="2448"/>
            <w:vAlign w:val="top"/>
          </w:tcPr>
          <w:p>
            <w:r/>
            <w:r>
              <w:rPr>
                <w:b w:val="0"/>
                <w:sz w:val="18"/>
              </w:rPr>
              <w:t>Mission fit</w:t>
            </w:r>
          </w:p>
        </w:tc>
        <w:tc>
          <w:tcPr>
            <w:tcW w:type="dxa" w:w="8208"/>
            <w:vAlign w:val="top"/>
          </w:tcPr>
          <w:p>
            <w:r/>
            <w:r>
              <w:rPr>
                <w:b w:val="0"/>
                <w:sz w:val="18"/>
              </w:rPr>
              <w:t>Serviam, intellectual curiosity, integrity, purposeful technology, young women as thoughtful builders and evaluators of AI systems.</w:t>
            </w:r>
          </w:p>
        </w:tc>
      </w:tr>
    </w:tbl>
    <w:p/>
    <w:p>
      <w:pPr>
        <w:pStyle w:val="Heading1"/>
      </w:pPr>
      <w:r>
        <w:t>Learning targets</w:t>
      </w:r>
    </w:p>
    <w:p>
      <w:pPr>
        <w:pStyle w:val="ListBullet"/>
      </w:pPr>
      <w:r>
        <w:t>I can describe an AI model as a learned function that maps input to output.</w:t>
      </w:r>
    </w:p>
    <w:p>
      <w:pPr>
        <w:pStyle w:val="ListBullet"/>
      </w:pPr>
      <w:r>
        <w:t>I can explain how text becomes tokens, numbers, and vectors.</w:t>
      </w:r>
    </w:p>
    <w:p>
      <w:pPr>
        <w:pStyle w:val="ListBullet"/>
      </w:pPr>
      <w:r>
        <w:t>I can connect weights, loss, probability, and attention to math and computer science.</w:t>
      </w:r>
    </w:p>
    <w:p>
      <w:pPr>
        <w:pStyle w:val="ListBullet"/>
      </w:pPr>
      <w:r>
        <w:t>I can explain generation as a step-by-step loop.</w:t>
      </w:r>
    </w:p>
    <w:p>
      <w:pPr>
        <w:pStyle w:val="ListBullet"/>
      </w:pPr>
      <w:r>
        <w:t>I can identify why AI output must still be tested, verified, and used responsibly.</w:t>
      </w:r>
    </w:p>
    <w:p>
      <w:pPr>
        <w:pStyle w:val="ListBullet"/>
      </w:pPr>
      <w:r>
        <w:t>I can connect technical AI understanding to Serviam and human judgment.</w:t>
      </w:r>
    </w:p>
    <w:p>
      <w:pPr>
        <w:pStyle w:val="Heading1"/>
      </w:pPr>
      <w:r>
        <w:t>Success criteria</w:t>
      </w:r>
    </w:p>
    <w:p>
      <w:pPr>
        <w:pStyle w:val="ListBullet"/>
      </w:pPr>
      <w:r>
        <w:t>Students can explain f(x) = y as input, model, output.</w:t>
      </w:r>
    </w:p>
    <w:p>
      <w:pPr>
        <w:pStyle w:val="ListBullet"/>
      </w:pPr>
      <w:r>
        <w:t>Students can define token, vector, weight, loss, probability, attention, and generation loop in student-friendly language.</w:t>
      </w:r>
    </w:p>
    <w:p>
      <w:pPr>
        <w:pStyle w:val="ListBullet"/>
      </w:pPr>
      <w:r>
        <w:t>Students can identify one math idea, one CS idea, and one science idea behind AI.</w:t>
      </w:r>
    </w:p>
    <w:p>
      <w:pPr>
        <w:pStyle w:val="ListBullet"/>
      </w:pPr>
      <w:r>
        <w:t>Students can explain why most likely does not mean guaranteed true.</w:t>
      </w:r>
    </w:p>
    <w:p>
      <w:pPr>
        <w:pStyle w:val="ListBullet"/>
      </w:pPr>
      <w:r>
        <w:t>Students can name one human responsibility in AI use.</w:t>
      </w:r>
    </w:p>
    <w:p>
      <w:pPr>
        <w:pStyle w:val="Heading1"/>
      </w:pPr>
      <w:r>
        <w:t>Materials</w:t>
      </w:r>
    </w:p>
    <w:p>
      <w:pPr>
        <w:pStyle w:val="ListBullet"/>
      </w:pPr>
      <w:r>
        <w:t>Student-facing Gamma deck: Inside AI, 12 slides.</w:t>
      </w:r>
    </w:p>
    <w:p>
      <w:pPr>
        <w:pStyle w:val="ListBullet"/>
      </w:pPr>
      <w:r>
        <w:t>Student handout: Inside AI Quick Reference Card.</w:t>
      </w:r>
    </w:p>
    <w:p>
      <w:pPr>
        <w:pStyle w:val="ListBullet"/>
      </w:pPr>
      <w:r>
        <w:t>Prepared visual examples for tokens, vectors, probability bars, and attention sentence.</w:t>
      </w:r>
    </w:p>
    <w:p>
      <w:pPr>
        <w:pStyle w:val="ListBullet"/>
      </w:pPr>
      <w:r>
        <w:t>Optional live AI tool only if stable. Prepared examples are preferred for a short sample lesson.</w:t>
      </w:r>
    </w:p>
    <w:p>
      <w:pPr>
        <w:pStyle w:val="Heading1"/>
      </w:pPr>
      <w:r>
        <w:t>15 to 20 minute instructional flow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584"/>
            <w:shd w:fill="D9EAD3"/>
            <w:vAlign w:val="center"/>
          </w:tcPr>
          <w:p>
            <w:r/>
            <w:r>
              <w:rPr>
                <w:b/>
                <w:sz w:val="18"/>
              </w:rPr>
              <w:t>Time</w:t>
            </w:r>
          </w:p>
        </w:tc>
        <w:tc>
          <w:tcPr>
            <w:tcW w:type="dxa" w:w="1440"/>
            <w:shd w:fill="D9EAD3"/>
            <w:vAlign w:val="center"/>
          </w:tcPr>
          <w:p>
            <w:r/>
            <w:r>
              <w:rPr>
                <w:b/>
                <w:sz w:val="18"/>
              </w:rPr>
              <w:t>Slides</w:t>
            </w:r>
          </w:p>
        </w:tc>
        <w:tc>
          <w:tcPr>
            <w:tcW w:type="dxa" w:w="3744"/>
            <w:shd w:fill="D9EAD3"/>
            <w:vAlign w:val="center"/>
          </w:tcPr>
          <w:p>
            <w:r/>
            <w:r>
              <w:rPr>
                <w:b/>
                <w:sz w:val="18"/>
              </w:rPr>
              <w:t>Teacher move</w:t>
            </w:r>
          </w:p>
        </w:tc>
        <w:tc>
          <w:tcPr>
            <w:tcW w:type="dxa" w:w="3888"/>
            <w:shd w:fill="D9EAD3"/>
            <w:vAlign w:val="center"/>
          </w:tcPr>
          <w:p>
            <w:r/>
            <w:r>
              <w:rPr>
                <w:b/>
                <w:sz w:val="18"/>
              </w:rPr>
              <w:t>Student evidence</w:t>
            </w:r>
          </w:p>
        </w:tc>
      </w:tr>
      <w:tr>
        <w:tc>
          <w:tcPr>
            <w:tcW w:type="dxa" w:w="1584"/>
            <w:vAlign w:val="top"/>
          </w:tcPr>
          <w:p>
            <w:r/>
            <w:r>
              <w:rPr>
                <w:b w:val="0"/>
                <w:sz w:val="18"/>
              </w:rPr>
              <w:t>0:00 to 1:30</w:t>
            </w:r>
          </w:p>
        </w:tc>
        <w:tc>
          <w:tcPr>
            <w:tcW w:type="dxa" w:w="1440"/>
            <w:vAlign w:val="top"/>
          </w:tcPr>
          <w:p>
            <w:r/>
            <w:r>
              <w:rPr>
                <w:b w:val="0"/>
                <w:sz w:val="18"/>
              </w:rPr>
              <w:t>Slides 1 to 2</w:t>
            </w:r>
          </w:p>
        </w:tc>
        <w:tc>
          <w:tcPr>
            <w:tcW w:type="dxa" w:w="3744"/>
            <w:vAlign w:val="top"/>
          </w:tcPr>
          <w:p>
            <w:r/>
            <w:r>
              <w:rPr>
                <w:b w:val="0"/>
                <w:sz w:val="18"/>
              </w:rPr>
              <w:t>Frame Part 2 and ask the advanced question.</w:t>
            </w:r>
          </w:p>
        </w:tc>
        <w:tc>
          <w:tcPr>
            <w:tcW w:type="dxa" w:w="3888"/>
            <w:vAlign w:val="top"/>
          </w:tcPr>
          <w:p>
            <w:r/>
            <w:r>
              <w:rPr>
                <w:b w:val="0"/>
                <w:sz w:val="18"/>
              </w:rPr>
              <w:t>Students predict what happens between prompt and response.</w:t>
            </w:r>
          </w:p>
        </w:tc>
      </w:tr>
      <w:tr>
        <w:tc>
          <w:tcPr>
            <w:tcW w:type="dxa" w:w="1584"/>
            <w:vAlign w:val="top"/>
          </w:tcPr>
          <w:p>
            <w:r/>
            <w:r>
              <w:rPr>
                <w:b w:val="0"/>
                <w:sz w:val="18"/>
              </w:rPr>
              <w:t>1:30 to 3:00</w:t>
            </w:r>
          </w:p>
        </w:tc>
        <w:tc>
          <w:tcPr>
            <w:tcW w:type="dxa" w:w="1440"/>
            <w:vAlign w:val="top"/>
          </w:tcPr>
          <w:p>
            <w:r/>
            <w:r>
              <w:rPr>
                <w:b w:val="0"/>
                <w:sz w:val="18"/>
              </w:rPr>
              <w:t>Slide 3</w:t>
            </w:r>
          </w:p>
        </w:tc>
        <w:tc>
          <w:tcPr>
            <w:tcW w:type="dxa" w:w="3744"/>
            <w:vAlign w:val="top"/>
          </w:tcPr>
          <w:p>
            <w:r/>
            <w:r>
              <w:rPr>
                <w:b w:val="0"/>
                <w:sz w:val="18"/>
              </w:rPr>
              <w:t>Model AI as a learned function.</w:t>
            </w:r>
          </w:p>
        </w:tc>
        <w:tc>
          <w:tcPr>
            <w:tcW w:type="dxa" w:w="3888"/>
            <w:vAlign w:val="top"/>
          </w:tcPr>
          <w:p>
            <w:r/>
            <w:r>
              <w:rPr>
                <w:b w:val="0"/>
                <w:sz w:val="18"/>
              </w:rPr>
              <w:t>Students name input-output examples.</w:t>
            </w:r>
          </w:p>
        </w:tc>
      </w:tr>
      <w:tr>
        <w:tc>
          <w:tcPr>
            <w:tcW w:type="dxa" w:w="1584"/>
            <w:vAlign w:val="top"/>
          </w:tcPr>
          <w:p>
            <w:r/>
            <w:r>
              <w:rPr>
                <w:b w:val="0"/>
                <w:sz w:val="18"/>
              </w:rPr>
              <w:t>3:00 to 4:30</w:t>
            </w:r>
          </w:p>
        </w:tc>
        <w:tc>
          <w:tcPr>
            <w:tcW w:type="dxa" w:w="1440"/>
            <w:vAlign w:val="top"/>
          </w:tcPr>
          <w:p>
            <w:r/>
            <w:r>
              <w:rPr>
                <w:b w:val="0"/>
                <w:sz w:val="18"/>
              </w:rPr>
              <w:t>Slide 4</w:t>
            </w:r>
          </w:p>
        </w:tc>
        <w:tc>
          <w:tcPr>
            <w:tcW w:type="dxa" w:w="3744"/>
            <w:vAlign w:val="top"/>
          </w:tcPr>
          <w:p>
            <w:r/>
            <w:r>
              <w:rPr>
                <w:b w:val="0"/>
                <w:sz w:val="18"/>
              </w:rPr>
              <w:t>Connect AI training to scientific testing.</w:t>
            </w:r>
          </w:p>
        </w:tc>
        <w:tc>
          <w:tcPr>
            <w:tcW w:type="dxa" w:w="3888"/>
            <w:vAlign w:val="top"/>
          </w:tcPr>
          <w:p>
            <w:r/>
            <w:r>
              <w:rPr>
                <w:b w:val="0"/>
                <w:sz w:val="18"/>
              </w:rPr>
              <w:t>Students explain why testing on new data matters.</w:t>
            </w:r>
          </w:p>
        </w:tc>
      </w:tr>
      <w:tr>
        <w:tc>
          <w:tcPr>
            <w:tcW w:type="dxa" w:w="1584"/>
            <w:vAlign w:val="top"/>
          </w:tcPr>
          <w:p>
            <w:r/>
            <w:r>
              <w:rPr>
                <w:b w:val="0"/>
                <w:sz w:val="18"/>
              </w:rPr>
              <w:t>4:30 to 7:00</w:t>
            </w:r>
          </w:p>
        </w:tc>
        <w:tc>
          <w:tcPr>
            <w:tcW w:type="dxa" w:w="1440"/>
            <w:vAlign w:val="top"/>
          </w:tcPr>
          <w:p>
            <w:r/>
            <w:r>
              <w:rPr>
                <w:b w:val="0"/>
                <w:sz w:val="18"/>
              </w:rPr>
              <w:t>Slides 5 to 6</w:t>
            </w:r>
          </w:p>
        </w:tc>
        <w:tc>
          <w:tcPr>
            <w:tcW w:type="dxa" w:w="3744"/>
            <w:vAlign w:val="top"/>
          </w:tcPr>
          <w:p>
            <w:r/>
            <w:r>
              <w:rPr>
                <w:b w:val="0"/>
                <w:sz w:val="18"/>
              </w:rPr>
              <w:t>Explain tokens, vectors, and similarity.</w:t>
            </w:r>
          </w:p>
        </w:tc>
        <w:tc>
          <w:tcPr>
            <w:tcW w:type="dxa" w:w="3888"/>
            <w:vAlign w:val="top"/>
          </w:tcPr>
          <w:p>
            <w:r/>
            <w:r>
              <w:rPr>
                <w:b w:val="0"/>
                <w:sz w:val="18"/>
              </w:rPr>
              <w:t>Students sort related word pairs and explain similarity.</w:t>
            </w:r>
          </w:p>
        </w:tc>
      </w:tr>
      <w:tr>
        <w:tc>
          <w:tcPr>
            <w:tcW w:type="dxa" w:w="1584"/>
            <w:vAlign w:val="top"/>
          </w:tcPr>
          <w:p>
            <w:r/>
            <w:r>
              <w:rPr>
                <w:b w:val="0"/>
                <w:sz w:val="18"/>
              </w:rPr>
              <w:t>7:00 to 9:30</w:t>
            </w:r>
          </w:p>
        </w:tc>
        <w:tc>
          <w:tcPr>
            <w:tcW w:type="dxa" w:w="1440"/>
            <w:vAlign w:val="top"/>
          </w:tcPr>
          <w:p>
            <w:r/>
            <w:r>
              <w:rPr>
                <w:b w:val="0"/>
                <w:sz w:val="18"/>
              </w:rPr>
              <w:t>Slides 7 to 8</w:t>
            </w:r>
          </w:p>
        </w:tc>
        <w:tc>
          <w:tcPr>
            <w:tcW w:type="dxa" w:w="3744"/>
            <w:vAlign w:val="top"/>
          </w:tcPr>
          <w:p>
            <w:r/>
            <w:r>
              <w:rPr>
                <w:b w:val="0"/>
                <w:sz w:val="18"/>
              </w:rPr>
              <w:t>Show weights and learning from error.</w:t>
            </w:r>
          </w:p>
        </w:tc>
        <w:tc>
          <w:tcPr>
            <w:tcW w:type="dxa" w:w="3888"/>
            <w:vAlign w:val="top"/>
          </w:tcPr>
          <w:p>
            <w:r/>
            <w:r>
              <w:rPr>
                <w:b w:val="0"/>
                <w:sz w:val="18"/>
              </w:rPr>
              <w:t>Students connect feedback loops to draft revision.</w:t>
            </w:r>
          </w:p>
        </w:tc>
      </w:tr>
      <w:tr>
        <w:tc>
          <w:tcPr>
            <w:tcW w:type="dxa" w:w="1584"/>
            <w:vAlign w:val="top"/>
          </w:tcPr>
          <w:p>
            <w:r/>
            <w:r>
              <w:rPr>
                <w:b w:val="0"/>
                <w:sz w:val="18"/>
              </w:rPr>
              <w:t>9:30 to 12:00</w:t>
            </w:r>
          </w:p>
        </w:tc>
        <w:tc>
          <w:tcPr>
            <w:tcW w:type="dxa" w:w="1440"/>
            <w:vAlign w:val="top"/>
          </w:tcPr>
          <w:p>
            <w:r/>
            <w:r>
              <w:rPr>
                <w:b w:val="0"/>
                <w:sz w:val="18"/>
              </w:rPr>
              <w:t>Slide 9</w:t>
            </w:r>
          </w:p>
        </w:tc>
        <w:tc>
          <w:tcPr>
            <w:tcW w:type="dxa" w:w="3744"/>
            <w:vAlign w:val="top"/>
          </w:tcPr>
          <w:p>
            <w:r/>
            <w:r>
              <w:rPr>
                <w:b w:val="0"/>
                <w:sz w:val="18"/>
              </w:rPr>
              <w:t>Explain probability and next-token choice.</w:t>
            </w:r>
          </w:p>
        </w:tc>
        <w:tc>
          <w:tcPr>
            <w:tcW w:type="dxa" w:w="3888"/>
            <w:vAlign w:val="top"/>
          </w:tcPr>
          <w:p>
            <w:r/>
            <w:r>
              <w:rPr>
                <w:b w:val="0"/>
                <w:sz w:val="18"/>
              </w:rPr>
              <w:t>Students predict the next likely word and justify with context.</w:t>
            </w:r>
          </w:p>
        </w:tc>
      </w:tr>
      <w:tr>
        <w:tc>
          <w:tcPr>
            <w:tcW w:type="dxa" w:w="1584"/>
            <w:vAlign w:val="top"/>
          </w:tcPr>
          <w:p>
            <w:r/>
            <w:r>
              <w:rPr>
                <w:b w:val="0"/>
                <w:sz w:val="18"/>
              </w:rPr>
              <w:t>12:00 to 15:00</w:t>
            </w:r>
          </w:p>
        </w:tc>
        <w:tc>
          <w:tcPr>
            <w:tcW w:type="dxa" w:w="1440"/>
            <w:vAlign w:val="top"/>
          </w:tcPr>
          <w:p>
            <w:r/>
            <w:r>
              <w:rPr>
                <w:b w:val="0"/>
                <w:sz w:val="18"/>
              </w:rPr>
              <w:t>Slides 10 to 11</w:t>
            </w:r>
          </w:p>
        </w:tc>
        <w:tc>
          <w:tcPr>
            <w:tcW w:type="dxa" w:w="3744"/>
            <w:vAlign w:val="top"/>
          </w:tcPr>
          <w:p>
            <w:r/>
            <w:r>
              <w:rPr>
                <w:b w:val="0"/>
                <w:sz w:val="18"/>
              </w:rPr>
              <w:t>Explain attention and generation loop.</w:t>
            </w:r>
          </w:p>
        </w:tc>
        <w:tc>
          <w:tcPr>
            <w:tcW w:type="dxa" w:w="3888"/>
            <w:vAlign w:val="top"/>
          </w:tcPr>
          <w:p>
            <w:r/>
            <w:r>
              <w:rPr>
                <w:b w:val="0"/>
                <w:sz w:val="18"/>
              </w:rPr>
              <w:t>Students identify the referent in the attention sentence and summarize the loop.</w:t>
            </w:r>
          </w:p>
        </w:tc>
      </w:tr>
      <w:tr>
        <w:tc>
          <w:tcPr>
            <w:tcW w:type="dxa" w:w="1584"/>
            <w:vAlign w:val="top"/>
          </w:tcPr>
          <w:p>
            <w:r/>
            <w:r>
              <w:rPr>
                <w:b w:val="0"/>
                <w:sz w:val="18"/>
              </w:rPr>
              <w:t>15:00 to 18:30</w:t>
            </w:r>
          </w:p>
        </w:tc>
        <w:tc>
          <w:tcPr>
            <w:tcW w:type="dxa" w:w="1440"/>
            <w:vAlign w:val="top"/>
          </w:tcPr>
          <w:p>
            <w:r/>
            <w:r>
              <w:rPr>
                <w:b w:val="0"/>
                <w:sz w:val="18"/>
              </w:rPr>
              <w:t>Slide 12</w:t>
            </w:r>
          </w:p>
        </w:tc>
        <w:tc>
          <w:tcPr>
            <w:tcW w:type="dxa" w:w="3744"/>
            <w:vAlign w:val="top"/>
          </w:tcPr>
          <w:p>
            <w:r/>
            <w:r>
              <w:rPr>
                <w:b w:val="0"/>
                <w:sz w:val="18"/>
              </w:rPr>
              <w:t>Connect math, science, CS, and Serviam.</w:t>
            </w:r>
          </w:p>
        </w:tc>
        <w:tc>
          <w:tcPr>
            <w:tcW w:type="dxa" w:w="3888"/>
            <w:vAlign w:val="top"/>
          </w:tcPr>
          <w:p>
            <w:r/>
            <w:r>
              <w:rPr>
                <w:b w:val="0"/>
                <w:sz w:val="18"/>
              </w:rPr>
              <w:t>Students complete the four-part exit ticket.</w:t>
            </w:r>
          </w:p>
        </w:tc>
      </w:tr>
      <w:tr>
        <w:tc>
          <w:tcPr>
            <w:tcW w:type="dxa" w:w="1584"/>
            <w:vAlign w:val="top"/>
          </w:tcPr>
          <w:p>
            <w:r/>
            <w:r>
              <w:rPr>
                <w:b w:val="0"/>
                <w:sz w:val="18"/>
              </w:rPr>
              <w:t>18:30 to 20:00</w:t>
            </w:r>
          </w:p>
        </w:tc>
        <w:tc>
          <w:tcPr>
            <w:tcW w:type="dxa" w:w="1440"/>
            <w:vAlign w:val="top"/>
          </w:tcPr>
          <w:p>
            <w:r/>
            <w:r>
              <w:rPr>
                <w:b w:val="0"/>
                <w:sz w:val="18"/>
              </w:rPr>
              <w:t>Backup</w:t>
            </w:r>
          </w:p>
        </w:tc>
        <w:tc>
          <w:tcPr>
            <w:tcW w:type="dxa" w:w="3744"/>
            <w:vAlign w:val="top"/>
          </w:tcPr>
          <w:p>
            <w:r/>
            <w:r>
              <w:rPr>
                <w:b w:val="0"/>
                <w:sz w:val="18"/>
              </w:rPr>
              <w:t>Use only if time remains.</w:t>
            </w:r>
          </w:p>
        </w:tc>
        <w:tc>
          <w:tcPr>
            <w:tcW w:type="dxa" w:w="3888"/>
            <w:vAlign w:val="top"/>
          </w:tcPr>
          <w:p>
            <w:r/>
            <w:r>
              <w:rPr>
                <w:b w:val="0"/>
                <w:sz w:val="18"/>
              </w:rPr>
              <w:t>Students share one response or ask one question.</w:t>
            </w:r>
          </w:p>
        </w:tc>
      </w:tr>
    </w:tbl>
    <w:p/>
    <w:p>
      <w:pPr>
        <w:pStyle w:val="Heading1"/>
      </w:pPr>
      <w:r>
        <w:t>Main activity structure</w:t>
      </w:r>
    </w:p>
    <w:p>
      <w:r>
        <w:t>This short extension uses micro-activities rather than one long activity:</w:t>
      </w:r>
    </w:p>
    <w:p>
      <w:pPr>
        <w:pStyle w:val="ListBullet"/>
      </w:pPr>
      <w:r>
        <w:t>Prediction check: What happens between prompt and response?</w:t>
      </w:r>
    </w:p>
    <w:p>
      <w:pPr>
        <w:pStyle w:val="ListBullet"/>
      </w:pPr>
      <w:r>
        <w:t>Function transfer: name an input-output pair.</w:t>
      </w:r>
    </w:p>
    <w:p>
      <w:pPr>
        <w:pStyle w:val="ListBullet"/>
      </w:pPr>
      <w:r>
        <w:t>Vector similarity sort: decide which concepts belong close together.</w:t>
      </w:r>
    </w:p>
    <w:p>
      <w:pPr>
        <w:pStyle w:val="ListBullet"/>
      </w:pPr>
      <w:r>
        <w:t>Attention decoder: identify what "it" refers to in a sentence.</w:t>
      </w:r>
    </w:p>
    <w:p>
      <w:pPr>
        <w:pStyle w:val="ListBullet"/>
      </w:pPr>
      <w:r>
        <w:t>Exit ticket: one math idea, one CS idea, one science idea, one human responsibility.</w:t>
      </w:r>
    </w:p>
    <w:p>
      <w:pPr>
        <w:pStyle w:val="Heading1"/>
      </w:pPr>
      <w:r>
        <w:t>Differentiation</w:t>
      </w:r>
    </w:p>
    <w:tbl>
      <w:tblPr>
        <w:tblStyle w:val="TableGrid"/>
        <w:tblW w:type="auto" w:w="0"/>
        <w:jc w:val="center"/>
        <w:tblLook w:firstColumn="1" w:firstRow="1" w:lastColumn="0" w:lastRow="0" w:noHBand="0" w:noVBand="1" w:val="04A0"/>
      </w:tblPr>
      <w:tblGrid>
        <w:gridCol w:w="5112"/>
        <w:gridCol w:w="5112"/>
      </w:tblGrid>
      <w:tr>
        <w:tc>
          <w:tcPr>
            <w:tcW w:type="dxa" w:w="2016"/>
            <w:shd w:fill="D9EAD3"/>
            <w:vAlign w:val="center"/>
          </w:tcPr>
          <w:p>
            <w:r/>
            <w:r>
              <w:rPr>
                <w:b/>
                <w:sz w:val="18"/>
              </w:rPr>
              <w:t>Band</w:t>
            </w:r>
          </w:p>
        </w:tc>
        <w:tc>
          <w:tcPr>
            <w:tcW w:type="dxa" w:w="8064"/>
            <w:shd w:fill="D9EAD3"/>
            <w:vAlign w:val="center"/>
          </w:tcPr>
          <w:p>
            <w:r/>
            <w:r>
              <w:rPr>
                <w:b/>
                <w:sz w:val="18"/>
              </w:rPr>
              <w:t>Adjustment</w:t>
            </w:r>
          </w:p>
        </w:tc>
      </w:tr>
      <w:tr>
        <w:tc>
          <w:tcPr>
            <w:tcW w:type="dxa" w:w="2016"/>
            <w:vAlign w:val="top"/>
          </w:tcPr>
          <w:p>
            <w:r/>
            <w:r>
              <w:rPr>
                <w:b w:val="0"/>
                <w:sz w:val="18"/>
              </w:rPr>
              <w:t>Support</w:t>
            </w:r>
          </w:p>
        </w:tc>
        <w:tc>
          <w:tcPr>
            <w:tcW w:type="dxa" w:w="8064"/>
            <w:vAlign w:val="top"/>
          </w:tcPr>
          <w:p>
            <w:r/>
            <w:r>
              <w:rPr>
                <w:b w:val="0"/>
                <w:sz w:val="18"/>
              </w:rPr>
              <w:t>Use diagrams, sentence stems, and everyday analogies before formulas.</w:t>
            </w:r>
          </w:p>
        </w:tc>
      </w:tr>
      <w:tr>
        <w:tc>
          <w:tcPr>
            <w:tcW w:type="dxa" w:w="2016"/>
            <w:vAlign w:val="top"/>
          </w:tcPr>
          <w:p>
            <w:r/>
            <w:r>
              <w:rPr>
                <w:b w:val="0"/>
                <w:sz w:val="18"/>
              </w:rPr>
              <w:t>Grade 10</w:t>
            </w:r>
          </w:p>
        </w:tc>
        <w:tc>
          <w:tcPr>
            <w:tcW w:type="dxa" w:w="8064"/>
            <w:vAlign w:val="top"/>
          </w:tcPr>
          <w:p>
            <w:r/>
            <w:r>
              <w:rPr>
                <w:b w:val="0"/>
                <w:sz w:val="18"/>
              </w:rPr>
              <w:t>Keep vectors as lists of numbers and probability as likely choices. Avoid full attention formula.</w:t>
            </w:r>
          </w:p>
        </w:tc>
      </w:tr>
      <w:tr>
        <w:tc>
          <w:tcPr>
            <w:tcW w:type="dxa" w:w="2016"/>
            <w:vAlign w:val="top"/>
          </w:tcPr>
          <w:p>
            <w:r/>
            <w:r>
              <w:rPr>
                <w:b w:val="0"/>
                <w:sz w:val="18"/>
              </w:rPr>
              <w:t>Grade 11</w:t>
            </w:r>
          </w:p>
        </w:tc>
        <w:tc>
          <w:tcPr>
            <w:tcW w:type="dxa" w:w="8064"/>
            <w:vAlign w:val="top"/>
          </w:tcPr>
          <w:p>
            <w:r/>
            <w:r>
              <w:rPr>
                <w:b w:val="0"/>
                <w:sz w:val="18"/>
              </w:rPr>
              <w:t>Add weighted sums, loss, and pseudocode loop.</w:t>
            </w:r>
          </w:p>
        </w:tc>
      </w:tr>
      <w:tr>
        <w:tc>
          <w:tcPr>
            <w:tcW w:type="dxa" w:w="2016"/>
            <w:vAlign w:val="top"/>
          </w:tcPr>
          <w:p>
            <w:r/>
            <w:r>
              <w:rPr>
                <w:b w:val="0"/>
                <w:sz w:val="18"/>
              </w:rPr>
              <w:t>AP CSP</w:t>
            </w:r>
          </w:p>
        </w:tc>
        <w:tc>
          <w:tcPr>
            <w:tcW w:type="dxa" w:w="8064"/>
            <w:vAlign w:val="top"/>
          </w:tcPr>
          <w:p>
            <w:r/>
            <w:r>
              <w:rPr>
                <w:b w:val="0"/>
                <w:sz w:val="18"/>
              </w:rPr>
              <w:t>Connect to abstraction, algorithms, data, and computing impacts.</w:t>
            </w:r>
          </w:p>
        </w:tc>
      </w:tr>
      <w:tr>
        <w:tc>
          <w:tcPr>
            <w:tcW w:type="dxa" w:w="2016"/>
            <w:vAlign w:val="top"/>
          </w:tcPr>
          <w:p>
            <w:r/>
            <w:r>
              <w:rPr>
                <w:b w:val="0"/>
                <w:sz w:val="18"/>
              </w:rPr>
              <w:t>AP CSA</w:t>
            </w:r>
          </w:p>
        </w:tc>
        <w:tc>
          <w:tcPr>
            <w:tcW w:type="dxa" w:w="8064"/>
            <w:vAlign w:val="top"/>
          </w:tcPr>
          <w:p>
            <w:r/>
            <w:r>
              <w:rPr>
                <w:b w:val="0"/>
                <w:sz w:val="18"/>
              </w:rPr>
              <w:t>Connect to functions, loops, arrays, methods, and testing.</w:t>
            </w:r>
          </w:p>
        </w:tc>
      </w:tr>
      <w:tr>
        <w:tc>
          <w:tcPr>
            <w:tcW w:type="dxa" w:w="2016"/>
            <w:vAlign w:val="top"/>
          </w:tcPr>
          <w:p>
            <w:r/>
            <w:r>
              <w:rPr>
                <w:b w:val="0"/>
                <w:sz w:val="18"/>
              </w:rPr>
              <w:t>Extension</w:t>
            </w:r>
          </w:p>
        </w:tc>
        <w:tc>
          <w:tcPr>
            <w:tcW w:type="dxa" w:w="8064"/>
            <w:vAlign w:val="top"/>
          </w:tcPr>
          <w:p>
            <w:r/>
            <w:r>
              <w:rPr>
                <w:b w:val="0"/>
                <w:sz w:val="18"/>
              </w:rPr>
              <w:t>Mention embeddings, softmax, attention formula, model cards, and evaluation dimensions.</w:t>
            </w:r>
          </w:p>
        </w:tc>
      </w:tr>
    </w:tbl>
    <w:p/>
    <w:p>
      <w:pPr>
        <w:pStyle w:val="Heading1"/>
      </w:pPr>
      <w:r>
        <w:t>Standards and framework alignment</w:t>
      </w:r>
    </w:p>
    <w:p>
      <w:pPr>
        <w:pStyle w:val="ListBullet"/>
      </w:pPr>
      <w:r>
        <w:t>AP CSP: abstraction, algorithms, data, computing impacts, and responsible innovation.</w:t>
      </w:r>
    </w:p>
    <w:p>
      <w:pPr>
        <w:pStyle w:val="ListBullet"/>
      </w:pPr>
      <w:r>
        <w:t>AP CSA: functions/methods, variables, loops, arrays, program behavior, debugging, and testing.</w:t>
      </w:r>
    </w:p>
    <w:p>
      <w:pPr>
        <w:pStyle w:val="ListBullet"/>
      </w:pPr>
      <w:r>
        <w:t>CSTA AI Learning Priorities: humans and AI, representation and reasoning, machine learning, ethical AI design, and societal impacts.</w:t>
      </w:r>
    </w:p>
    <w:p>
      <w:pPr>
        <w:pStyle w:val="ListBullet"/>
      </w:pPr>
      <w:r>
        <w:t>AI4K12: representation and reasoning, learning, and societal impact.</w:t>
      </w:r>
    </w:p>
    <w:p>
      <w:pPr>
        <w:pStyle w:val="ListBullet"/>
      </w:pPr>
      <w:r>
        <w:t>Ursuline alignment: Serviam, I.D.E.A. Hub, coding, robotics, digital citizenship, and purposeful technology.</w:t>
      </w:r>
    </w:p>
    <w:p>
      <w:pPr>
        <w:pStyle w:val="Heading1"/>
      </w:pPr>
      <w:r>
        <w:t>Why this works as a teaching audition</w:t>
      </w:r>
    </w:p>
    <w:p>
      <w:pPr>
        <w:pStyle w:val="ListBullet"/>
      </w:pPr>
      <w:r>
        <w:t>It extends the required lesson without making the required lesson too technical.</w:t>
      </w:r>
    </w:p>
    <w:p>
      <w:pPr>
        <w:pStyle w:val="ListBullet"/>
      </w:pPr>
      <w:r>
        <w:t>It shows mathematical thinking through functions, vectors, weights, loss, and probability.</w:t>
      </w:r>
    </w:p>
    <w:p>
      <w:pPr>
        <w:pStyle w:val="ListBullet"/>
      </w:pPr>
      <w:r>
        <w:t>It shows computer science thinking through input-output, algorithms, loops, and pseudocode.</w:t>
      </w:r>
    </w:p>
    <w:p>
      <w:pPr>
        <w:pStyle w:val="ListBullet"/>
      </w:pPr>
      <w:r>
        <w:t>It shows science thinking through data, testing, error, evaluation, and evidence.</w:t>
      </w:r>
    </w:p>
    <w:p>
      <w:pPr>
        <w:pStyle w:val="ListBullet"/>
      </w:pPr>
      <w:r>
        <w:t>It uses active learning and visible thinking instead of lecture-only delivery.</w:t>
      </w:r>
    </w:p>
    <w:p>
      <w:pPr>
        <w:pStyle w:val="ListBullet"/>
      </w:pPr>
      <w:r>
        <w:t>It closes with Serviam so the technical lesson remains human-centered.</w:t>
      </w:r>
    </w:p>
    <w:p>
      <w:pPr>
        <w:pStyle w:val="Heading1"/>
      </w:pPr>
      <w:r>
        <w:t>Source note</w:t>
      </w:r>
    </w:p>
    <w:p>
      <w:r>
        <w:t>Full citation details are included in the companion Research Source Map. Key sources include Ursuline Academy official mission and technology pages, College Board AP CSP and AP CSA, Google ML Crash Course, Vaswani et al., CSTA, AI4K12, UNESCO, NIST, PBLWorks, Harvard Project Zero, CAST UDL, and Freeman et al. active learning research.</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