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sz w:val="36"/>
        </w:rPr>
        <w:t>Inside AI: The Math, Science, and Code Behind Intelligent Tools</w:t>
      </w:r>
    </w:p>
    <w:p>
      <w:pPr>
        <w:jc w:val="center"/>
      </w:pPr>
      <w:r>
        <w:rPr>
          <w:i/>
          <w:sz w:val="22"/>
        </w:rPr>
        <w:t>A 10th/11th-grade extension to AI, the Brain, and Serviam</w:t>
      </w:r>
    </w:p>
    <w:p>
      <w:pPr>
        <w:pStyle w:val="Heading1"/>
      </w:pPr>
      <w:r>
        <w:t>Lesson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Category</w:t>
            </w:r>
          </w:p>
        </w:tc>
        <w:tc>
          <w:tcPr>
            <w:tcW w:type="dxa" w:w="5184"/>
          </w:tcPr>
          <w:p>
            <w:r>
              <w:t>Plan</w:t>
            </w:r>
          </w:p>
        </w:tc>
      </w:tr>
      <w:tr>
        <w:tc>
          <w:tcPr>
            <w:tcW w:type="dxa" w:w="5184"/>
          </w:tcPr>
          <w:p>
            <w:r>
              <w:t>Course or context</w:t>
            </w:r>
          </w:p>
        </w:tc>
        <w:tc>
          <w:tcPr>
            <w:tcW w:type="dxa" w:w="5184"/>
          </w:tcPr>
          <w:p>
            <w:r>
              <w:t>Grades 10 and 11. Computer science, math, science, AI literacy, I.D.E.A. Hub, AP CSP or AP CSA extension.</w:t>
            </w:r>
          </w:p>
        </w:tc>
      </w:tr>
      <w:tr>
        <w:tc>
          <w:tcPr>
            <w:tcW w:type="dxa" w:w="5184"/>
          </w:tcPr>
          <w:p>
            <w:r>
              <w:t>Length</w:t>
            </w:r>
          </w:p>
        </w:tc>
        <w:tc>
          <w:tcPr>
            <w:tcW w:type="dxa" w:w="5184"/>
          </w:tcPr>
          <w:p>
            <w:r>
              <w:t>15 to 20 minutes. The lesson is a focused supplement, not a full machine learning unit.</w:t>
            </w:r>
          </w:p>
        </w:tc>
      </w:tr>
      <w:tr>
        <w:tc>
          <w:tcPr>
            <w:tcW w:type="dxa" w:w="5184"/>
          </w:tcPr>
          <w:p>
            <w:r>
              <w:t>Audience</w:t>
            </w:r>
          </w:p>
        </w:tc>
        <w:tc>
          <w:tcPr>
            <w:tcW w:type="dxa" w:w="5184"/>
          </w:tcPr>
          <w:p>
            <w:r>
              <w:t>Student-facing extension for upper-school Ursuline students.</w:t>
            </w:r>
          </w:p>
        </w:tc>
      </w:tr>
      <w:tr>
        <w:tc>
          <w:tcPr>
            <w:tcW w:type="dxa" w:w="5184"/>
          </w:tcPr>
          <w:p>
            <w:r>
              <w:t>Essential question</w:t>
            </w:r>
          </w:p>
        </w:tc>
        <w:tc>
          <w:tcPr>
            <w:tcW w:type="dxa" w:w="5184"/>
          </w:tcPr>
          <w:p>
            <w:r>
              <w:t>What happens after a prompt becomes math, and how do we decide whether to trust the result?</w:t>
            </w:r>
          </w:p>
        </w:tc>
      </w:tr>
      <w:tr>
        <w:tc>
          <w:tcPr>
            <w:tcW w:type="dxa" w:w="5184"/>
          </w:tcPr>
          <w:p>
            <w:r>
              <w:t>Core thesis</w:t>
            </w:r>
          </w:p>
        </w:tc>
        <w:tc>
          <w:tcPr>
            <w:tcW w:type="dxa" w:w="5184"/>
          </w:tcPr>
          <w:p>
            <w:r>
              <w:t>AI is not magic. It is math trained on patterns. Human wisdom decides whether, when, and how to use it.</w:t>
            </w:r>
          </w:p>
        </w:tc>
      </w:tr>
      <w:tr>
        <w:tc>
          <w:tcPr>
            <w:tcW w:type="dxa" w:w="5184"/>
          </w:tcPr>
          <w:p>
            <w:r>
              <w:t>Mission fit</w:t>
            </w:r>
          </w:p>
        </w:tc>
        <w:tc>
          <w:tcPr>
            <w:tcW w:type="dxa" w:w="5184"/>
          </w:tcPr>
          <w:p>
            <w:r>
              <w:t>Serviam, intellectual curiosity, integrity, purpose, presence, young women as builders, critics, and leaders of technology.</w:t>
            </w:r>
          </w:p>
        </w:tc>
      </w:tr>
    </w:tbl>
    <w:p>
      <w:pPr>
        <w:pStyle w:val="Heading1"/>
      </w:pPr>
      <w:r>
        <w:t>Learning targets</w:t>
      </w:r>
    </w:p>
    <w:p>
      <w:pPr>
        <w:pStyle w:val="ListBullet"/>
      </w:pPr>
      <w:r>
        <w:t>I can describe AI as a learned function that maps input to output.</w:t>
      </w:r>
    </w:p>
    <w:p>
      <w:pPr>
        <w:pStyle w:val="ListBullet"/>
      </w:pPr>
      <w:r>
        <w:t>I can explain how text becomes tokens, token IDs, and vectors.</w:t>
      </w:r>
    </w:p>
    <w:p>
      <w:pPr>
        <w:pStyle w:val="ListBullet"/>
      </w:pPr>
      <w:r>
        <w:t>I can connect weights, loss, probability, attention, and loops to math and computer science ideas.</w:t>
      </w:r>
    </w:p>
    <w:p>
      <w:pPr>
        <w:pStyle w:val="ListBullet"/>
      </w:pPr>
      <w:r>
        <w:t>I can explain why AI output is probable, not guaranteed true.</w:t>
      </w:r>
    </w:p>
    <w:p>
      <w:pPr>
        <w:pStyle w:val="ListBullet"/>
      </w:pPr>
      <w:r>
        <w:t>I can use human judgment to test, verify, and decide whether AI use serves learning and others.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Students can explain f(x)=y as input, model, and output.</w:t>
      </w:r>
    </w:p>
    <w:p>
      <w:pPr>
        <w:pStyle w:val="ListBullet"/>
      </w:pPr>
      <w:r>
        <w:t>Students can define token, vector, weight, loss, probability, attention, and loop in student-friendly language.</w:t>
      </w:r>
    </w:p>
    <w:p>
      <w:pPr>
        <w:pStyle w:val="ListBullet"/>
      </w:pPr>
      <w:r>
        <w:t>Students can name one math idea, one CS idea, and one science idea behind AI.</w:t>
      </w:r>
    </w:p>
    <w:p>
      <w:pPr>
        <w:pStyle w:val="ListBullet"/>
      </w:pPr>
      <w:r>
        <w:t>Students can explain why most likely does not mean guaranteed true.</w:t>
      </w:r>
    </w:p>
    <w:p>
      <w:pPr>
        <w:pStyle w:val="ListBullet"/>
      </w:pPr>
      <w:r>
        <w:t>Students can connect model evaluation to Serviam, accuracy, fairness, privacy, and human oversight.</w:t>
      </w:r>
    </w:p>
    <w:p>
      <w:pPr>
        <w:pStyle w:val="Heading1"/>
      </w:pPr>
      <w:r>
        <w:t>15 to 20 minute instructional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Time</w:t>
            </w:r>
          </w:p>
        </w:tc>
        <w:tc>
          <w:tcPr>
            <w:tcW w:type="dxa" w:w="2592"/>
          </w:tcPr>
          <w:p>
            <w:r>
              <w:t>Slides</w:t>
            </w:r>
          </w:p>
        </w:tc>
        <w:tc>
          <w:tcPr>
            <w:tcW w:type="dxa" w:w="2592"/>
          </w:tcPr>
          <w:p>
            <w:r>
              <w:t>Teacher move</w:t>
            </w:r>
          </w:p>
        </w:tc>
        <w:tc>
          <w:tcPr>
            <w:tcW w:type="dxa" w:w="2592"/>
          </w:tcPr>
          <w:p>
            <w:r>
              <w:t>Student evidence</w:t>
            </w:r>
          </w:p>
        </w:tc>
      </w:tr>
      <w:tr>
        <w:tc>
          <w:tcPr>
            <w:tcW w:type="dxa" w:w="2592"/>
          </w:tcPr>
          <w:p>
            <w:r>
              <w:t>0:00 to 1:30</w:t>
            </w:r>
          </w:p>
        </w:tc>
        <w:tc>
          <w:tcPr>
            <w:tcW w:type="dxa" w:w="2592"/>
          </w:tcPr>
          <w:p>
            <w:r>
              <w:t>Slides 1 to 2</w:t>
            </w:r>
          </w:p>
        </w:tc>
        <w:tc>
          <w:tcPr>
            <w:tcW w:type="dxa" w:w="2592"/>
          </w:tcPr>
          <w:p>
            <w:r>
              <w:t>Connect to Part 1 and ask what happens after pressing Enter.</w:t>
            </w:r>
          </w:p>
        </w:tc>
        <w:tc>
          <w:tcPr>
            <w:tcW w:type="dxa" w:w="2592"/>
          </w:tcPr>
          <w:p>
            <w:r>
              <w:t>Students predict steps in the AI pipeline.</w:t>
            </w:r>
          </w:p>
        </w:tc>
      </w:tr>
      <w:tr>
        <w:tc>
          <w:tcPr>
            <w:tcW w:type="dxa" w:w="2592"/>
          </w:tcPr>
          <w:p>
            <w:r>
              <w:t>1:30 to 3:30</w:t>
            </w:r>
          </w:p>
        </w:tc>
        <w:tc>
          <w:tcPr>
            <w:tcW w:type="dxa" w:w="2592"/>
          </w:tcPr>
          <w:p>
            <w:r>
              <w:t>Slide 3</w:t>
            </w:r>
          </w:p>
        </w:tc>
        <w:tc>
          <w:tcPr>
            <w:tcW w:type="dxa" w:w="2592"/>
          </w:tcPr>
          <w:p>
            <w:r>
              <w:t>Model AI as a learned function.</w:t>
            </w:r>
          </w:p>
        </w:tc>
        <w:tc>
          <w:tcPr>
            <w:tcW w:type="dxa" w:w="2592"/>
          </w:tcPr>
          <w:p>
            <w:r>
              <w:t>Students connect f(x)=y to CS methods and math functions.</w:t>
            </w:r>
          </w:p>
        </w:tc>
      </w:tr>
      <w:tr>
        <w:tc>
          <w:tcPr>
            <w:tcW w:type="dxa" w:w="2592"/>
          </w:tcPr>
          <w:p>
            <w:r>
              <w:t>3:30 to 5:30</w:t>
            </w:r>
          </w:p>
        </w:tc>
        <w:tc>
          <w:tcPr>
            <w:tcW w:type="dxa" w:w="2592"/>
          </w:tcPr>
          <w:p>
            <w:r>
              <w:t>Slide 4</w:t>
            </w:r>
          </w:p>
        </w:tc>
        <w:tc>
          <w:tcPr>
            <w:tcW w:type="dxa" w:w="2592"/>
          </w:tcPr>
          <w:p>
            <w:r>
              <w:t>Frame data, training, and testing as scientific modeling.</w:t>
            </w:r>
          </w:p>
        </w:tc>
        <w:tc>
          <w:tcPr>
            <w:tcW w:type="dxa" w:w="2592"/>
          </w:tcPr>
          <w:p>
            <w:r>
              <w:t>Students explain why unseen test data matters.</w:t>
            </w:r>
          </w:p>
        </w:tc>
      </w:tr>
      <w:tr>
        <w:tc>
          <w:tcPr>
            <w:tcW w:type="dxa" w:w="2592"/>
          </w:tcPr>
          <w:p>
            <w:r>
              <w:t>5:30 to 8:00</w:t>
            </w:r>
          </w:p>
        </w:tc>
        <w:tc>
          <w:tcPr>
            <w:tcW w:type="dxa" w:w="2592"/>
          </w:tcPr>
          <w:p>
            <w:r>
              <w:t>Slides 5 to 6</w:t>
            </w:r>
          </w:p>
        </w:tc>
        <w:tc>
          <w:tcPr>
            <w:tcW w:type="dxa" w:w="2592"/>
          </w:tcPr>
          <w:p>
            <w:r>
              <w:t>Show tokens, vectors, and similarity.</w:t>
            </w:r>
          </w:p>
        </w:tc>
        <w:tc>
          <w:tcPr>
            <w:tcW w:type="dxa" w:w="2592"/>
          </w:tcPr>
          <w:p>
            <w:r>
              <w:t>Students split a sentence and place words in clusters.</w:t>
            </w:r>
          </w:p>
        </w:tc>
      </w:tr>
      <w:tr>
        <w:tc>
          <w:tcPr>
            <w:tcW w:type="dxa" w:w="2592"/>
          </w:tcPr>
          <w:p>
            <w:r>
              <w:t>8:00 to 11:30</w:t>
            </w:r>
          </w:p>
        </w:tc>
        <w:tc>
          <w:tcPr>
            <w:tcW w:type="dxa" w:w="2592"/>
          </w:tcPr>
          <w:p>
            <w:r>
              <w:t>Slides 7 to 9</w:t>
            </w:r>
          </w:p>
        </w:tc>
        <w:tc>
          <w:tcPr>
            <w:tcW w:type="dxa" w:w="2592"/>
          </w:tcPr>
          <w:p>
            <w:r>
              <w:t>Explain weights, learning from error, and probability.</w:t>
            </w:r>
          </w:p>
        </w:tc>
        <w:tc>
          <w:tcPr>
            <w:tcW w:type="dxa" w:w="2592"/>
          </w:tcPr>
          <w:p>
            <w:r>
              <w:t>Students compare this to revision, debugging, or practice.</w:t>
            </w:r>
          </w:p>
        </w:tc>
      </w:tr>
      <w:tr>
        <w:tc>
          <w:tcPr>
            <w:tcW w:type="dxa" w:w="2592"/>
          </w:tcPr>
          <w:p>
            <w:r>
              <w:t>11:30 to 15:30</w:t>
            </w:r>
          </w:p>
        </w:tc>
        <w:tc>
          <w:tcPr>
            <w:tcW w:type="dxa" w:w="2592"/>
          </w:tcPr>
          <w:p>
            <w:r>
              <w:t>Slides 10 to 11</w:t>
            </w:r>
          </w:p>
        </w:tc>
        <w:tc>
          <w:tcPr>
            <w:tcW w:type="dxa" w:w="2592"/>
          </w:tcPr>
          <w:p>
            <w:r>
              <w:t>Explain attention and generation loop.</w:t>
            </w:r>
          </w:p>
        </w:tc>
        <w:tc>
          <w:tcPr>
            <w:tcW w:type="dxa" w:w="2592"/>
          </w:tcPr>
          <w:p>
            <w:r>
              <w:t>Students solve the pronoun-reference example and read simple pseudocode.</w:t>
            </w:r>
          </w:p>
        </w:tc>
      </w:tr>
      <w:tr>
        <w:tc>
          <w:tcPr>
            <w:tcW w:type="dxa" w:w="2592"/>
          </w:tcPr>
          <w:p>
            <w:r>
              <w:t>15:30 to 20:00</w:t>
            </w:r>
          </w:p>
        </w:tc>
        <w:tc>
          <w:tcPr>
            <w:tcW w:type="dxa" w:w="2592"/>
          </w:tcPr>
          <w:p>
            <w:r>
              <w:t>Slide 12</w:t>
            </w:r>
          </w:p>
        </w:tc>
        <w:tc>
          <w:tcPr>
            <w:tcW w:type="dxa" w:w="2592"/>
          </w:tcPr>
          <w:p>
            <w:r>
              <w:t>Connect math, science, CS, and Serviam.</w:t>
            </w:r>
          </w:p>
        </w:tc>
        <w:tc>
          <w:tcPr>
            <w:tcW w:type="dxa" w:w="2592"/>
          </w:tcPr>
          <w:p>
            <w:r>
              <w:t>Students complete one math idea, one CS idea, one science idea, one human responsibility.</w:t>
            </w:r>
          </w:p>
        </w:tc>
      </w:tr>
    </w:tbl>
    <w:p>
      <w:pPr>
        <w:pStyle w:val="Heading1"/>
      </w:pPr>
      <w:r>
        <w:t>Best-practice design notes</w:t>
      </w:r>
    </w:p>
    <w:p>
      <w:pPr>
        <w:pStyle w:val="ListBullet"/>
      </w:pPr>
      <w:r>
        <w:t>Uses prediction before explanation to activate prior knowledge.</w:t>
      </w:r>
    </w:p>
    <w:p>
      <w:pPr>
        <w:pStyle w:val="ListBullet"/>
      </w:pPr>
      <w:r>
        <w:t>Uses visual models to reduce cognitive load.</w:t>
      </w:r>
    </w:p>
    <w:p>
      <w:pPr>
        <w:pStyle w:val="ListBullet"/>
      </w:pPr>
      <w:r>
        <w:t>Uses visible thinking through short prediction, clustering, and exit routines.</w:t>
      </w:r>
    </w:p>
    <w:p>
      <w:pPr>
        <w:pStyle w:val="ListBullet"/>
      </w:pPr>
      <w:r>
        <w:t>Uses active learning instead of lecture-only delivery.</w:t>
      </w:r>
    </w:p>
    <w:p>
      <w:pPr>
        <w:pStyle w:val="ListBullet"/>
      </w:pPr>
      <w:r>
        <w:t>Uses UDL by combining words, diagrams, formulas, examples, and verbal explanation.</w:t>
      </w:r>
    </w:p>
    <w:p>
      <w:pPr>
        <w:pStyle w:val="ListBullet"/>
      </w:pPr>
      <w:r>
        <w:t>Uses metacognitive closure through an exit ticket.</w:t>
      </w:r>
    </w:p>
    <w:p>
      <w:pPr>
        <w:pStyle w:val="ListBullet"/>
      </w:pPr>
      <w:r>
        <w:t>Uses Serviam to connect technical skill to purpose, integrity, and responsible use.</w:t>
      </w:r>
    </w:p>
    <w:p>
      <w:pPr>
        <w:pStyle w:val="Heading1"/>
      </w:pPr>
      <w:r>
        <w:t>Differentiation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Group</w:t>
            </w:r>
          </w:p>
        </w:tc>
        <w:tc>
          <w:tcPr>
            <w:tcW w:type="dxa" w:w="5184"/>
          </w:tcPr>
          <w:p>
            <w:r>
              <w:t>Adjustment</w:t>
            </w:r>
          </w:p>
        </w:tc>
      </w:tr>
      <w:tr>
        <w:tc>
          <w:tcPr>
            <w:tcW w:type="dxa" w:w="5184"/>
          </w:tcPr>
          <w:p>
            <w:r>
              <w:t>Students needing support</w:t>
            </w:r>
          </w:p>
        </w:tc>
        <w:tc>
          <w:tcPr>
            <w:tcW w:type="dxa" w:w="5184"/>
          </w:tcPr>
          <w:p>
            <w:r>
              <w:t>Use only the pathway, definitions, and diagrams. Skip formulas except f(x)=y.</w:t>
            </w:r>
          </w:p>
        </w:tc>
      </w:tr>
      <w:tr>
        <w:tc>
          <w:tcPr>
            <w:tcW w:type="dxa" w:w="5184"/>
          </w:tcPr>
          <w:p>
            <w:r>
              <w:t>Grade 10 baseline</w:t>
            </w:r>
          </w:p>
        </w:tc>
        <w:tc>
          <w:tcPr>
            <w:tcW w:type="dxa" w:w="5184"/>
          </w:tcPr>
          <w:p>
            <w:r>
              <w:t>Use all 12 slides, but keep formulas as intuition.</w:t>
            </w:r>
          </w:p>
        </w:tc>
      </w:tr>
      <w:tr>
        <w:tc>
          <w:tcPr>
            <w:tcW w:type="dxa" w:w="5184"/>
          </w:tcPr>
          <w:p>
            <w:r>
              <w:t>Grade 11 or AP extension</w:t>
            </w:r>
          </w:p>
        </w:tc>
        <w:tc>
          <w:tcPr>
            <w:tcW w:type="dxa" w:w="5184"/>
          </w:tcPr>
          <w:p>
            <w:r>
              <w:t>Add dot product, softmax formula, attention formula, gradient descent notation, and Java-style pseudocode in speaker notes.</w:t>
            </w:r>
          </w:p>
        </w:tc>
      </w:tr>
      <w:tr>
        <w:tc>
          <w:tcPr>
            <w:tcW w:type="dxa" w:w="5184"/>
          </w:tcPr>
          <w:p>
            <w:r>
              <w:t>Fast finishers</w:t>
            </w:r>
          </w:p>
        </w:tc>
        <w:tc>
          <w:tcPr>
            <w:tcW w:type="dxa" w:w="5184"/>
          </w:tcPr>
          <w:p>
            <w:r>
              <w:t>Ask them to label which part of the pipeline is math, CS, science, or human judgment.</w:t>
            </w:r>
          </w:p>
        </w:tc>
      </w:tr>
    </w:tbl>
    <w:p>
      <w:pPr>
        <w:pStyle w:val="Heading1"/>
      </w:pPr>
      <w:r>
        <w:t>Assessment</w:t>
      </w:r>
    </w:p>
    <w:p>
      <w:pPr>
        <w:pStyle w:val="ListBullet"/>
      </w:pPr>
      <w:r>
        <w:t>Exit ticket: one math idea, one computer science idea, one science idea, one human responsibility.</w:t>
      </w:r>
    </w:p>
    <w:p>
      <w:pPr>
        <w:pStyle w:val="ListBullet"/>
      </w:pPr>
      <w:r>
        <w:t>Teacher observation: can students explain why AI output needs review?</w:t>
      </w:r>
    </w:p>
    <w:p>
      <w:pPr>
        <w:pStyle w:val="ListBullet"/>
      </w:pPr>
      <w:r>
        <w:t>Student discussion: can students distinguish calculated similarity from human meaning?</w:t>
      </w:r>
    </w:p>
    <w:p>
      <w:pPr>
        <w:pStyle w:val="ListBullet"/>
      </w:pPr>
      <w:r>
        <w:t>Optional prompt: explain the AI pipeline in four sentences for a 9th grader.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