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Use Case Diagram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686425" cy="6686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Activity Diagrams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55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162425" cy="7877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29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8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64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DriverPass will be a web-based application that is available to all home computers and will later come to mobile devices. It will be a cloud-based website and will be created with HTML, CSS, and Python. No tools, besides log in information is required from the customer for them to use the system.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3" name="image5.jpg"/>
          <a:graphic>
            <a:graphicData uri="http://schemas.openxmlformats.org/drawingml/2006/picture">
              <pic:pic>
                <pic:nvPicPr>
                  <pic:cNvPr descr="SNHU logo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++ASfhJNW0tYjlh8vCYO5q/1Q==">AMUW2mXhrnGd8z1wmZcbOkE5kjywiMx05JlGavjcZYA095RR6ZUQNTC33HzOHSgzVKLjUwiXpaWVd3DC8aAucWyVsx9s2Fk2ywgEsSMCiUyaKosGPxz0F07/tQ99GLbDunkz8a8s5hpA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