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0.9.4</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and production Robokassa configuration have been verified. TikTok OAuth/publication</w:t>
      </w:r>
    </w:p>
    <w:p>
      <w:r>
        <w:t>acceptance and a real Telegram Stars acceptance scenario remain pending. Release candidate</w:t>
      </w:r>
    </w:p>
    <w:p>
      <w:r>
        <w:t>`0.2.0-rc.1` remains a prerelease and must be promoted to stable SemVer only after those provider</w:t>
      </w:r>
    </w:p>
    <w:p>
      <w:r>
        <w:t>gates 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Create a PRO Telegram Stars invoice and complete the in-bot acceptance scenario.</w:t>
      </w:r>
    </w:p>
    <w:p>
      <w:pPr>
        <w:pStyle w:val="ListNumber"/>
        <w:numPr>
          <w:ilvl w:val="0"/>
          <w:numId w:val="20"/>
        </w:numPr>
      </w:pPr>
      <w:r>
        <w:t>Through the separately approved external channel, generate a Robokassa PRO payment link.</w:t>
      </w:r>
    </w:p>
    <w:p>
      <w:pPr>
        <w:pStyle w:val="ListNumber"/>
        <w:numPr>
          <w:ilvl w:val="0"/>
          <w:numId w:val="20"/>
        </w:numPr>
      </w:pPr>
      <w:r>
        <w:t>Complete a Robokassa test payment and confirm ResultURL activates PRO exactly once.</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and Stars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