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0.4.0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5.3.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rPr>
          <w:cantSplit/>
        </w:trP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18.2.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Robokassa Setup</w:t>
      </w:r>
    </w:p>
    <w:p>
      <w:r>
        <w:t>Группа спецификации: Интеграции</w:t>
      </w:r>
    </w:p>
    <w:p>
      <w:r>
        <w:t>End-to-end payment sequence is documented in Sequence Flows.</w:t>
      </w:r>
    </w:p>
    <w:p>
      <w:pPr>
        <w:pStyle w:val="Heading2"/>
      </w:pPr>
      <w:r>
        <w:t>21.1.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21.2.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21.3.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22.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22.1.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22.2.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22.3.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22.4.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22.5.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22.6.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22.7.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23. REST API Standards</w:t>
      </w:r>
    </w:p>
    <w:p>
      <w:r>
        <w:t>Группа спецификации: API</w:t>
      </w:r>
    </w:p>
    <w:p>
      <w:pPr>
        <w:pStyle w:val="Heading2"/>
      </w:pPr>
      <w:r>
        <w:t>23.1.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23.2.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23.3.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23.4.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23.5.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24.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24.1.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24.2.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24.3.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24.4.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24.5.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24.6.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24.7.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25. Public REST API</w:t>
      </w:r>
    </w:p>
    <w:p>
      <w:r>
        <w:t>Группа спецификации: API</w:t>
      </w:r>
    </w:p>
    <w:p>
      <w:pPr>
        <w:pStyle w:val="Heading2"/>
      </w:pPr>
      <w:r>
        <w:t>25.1.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25.2.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25.3.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25.4.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26. Administrative REST API</w:t>
      </w:r>
    </w:p>
    <w:p>
      <w:r>
        <w:t>Группа спецификации: API</w:t>
      </w:r>
    </w:p>
    <w:p>
      <w:pPr>
        <w:pStyle w:val="Heading2"/>
      </w:pPr>
      <w:r>
        <w:t>26.1.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26.2.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26.3.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26.4.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26.5.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27. OpenAPI and Contract Documentation</w:t>
      </w:r>
    </w:p>
    <w:p>
      <w:r>
        <w:t>Группа спецификации: API</w:t>
      </w:r>
    </w:p>
    <w:p>
      <w:pPr>
        <w:pStyle w:val="Heading2"/>
      </w:pPr>
      <w:r>
        <w:t>27.1.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27.2.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27.3.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27.4.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27.5.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28. Error Codes and Exception Handling</w:t>
      </w:r>
    </w:p>
    <w:p>
      <w:r>
        <w:t>Группа спецификации: API</w:t>
      </w:r>
    </w:p>
    <w:p>
      <w:pPr>
        <w:pStyle w:val="Heading2"/>
      </w:pPr>
      <w:r>
        <w:t>28.1.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28.2.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28.3.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28.4.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28.5.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28.6.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28.7.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29.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29.1.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29.2.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29.3.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29.4.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29.5.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30.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30.1.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30.2.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30.3.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30.4.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30.5.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30.6.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31.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31.1.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31.2.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31.3.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31.4.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31.5.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31.6.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31.7.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31.8.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32.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32.2.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32.3.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32.4.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32.5.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pPr>
        <w:pStyle w:val="Heading2"/>
      </w:pPr>
      <w:r>
        <w:t>32.6.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33.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34. Configuration Management</w:t>
      </w:r>
    </w:p>
    <w:p>
      <w:r>
        <w:t>Группа спецификации: Конфигурация</w:t>
      </w:r>
    </w:p>
    <w:p>
      <w:pPr>
        <w:pStyle w:val="Heading2"/>
      </w:pPr>
      <w:r>
        <w:t>34.1.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34.2.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34.3.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34.4.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34.5. Startup Validation</w:t>
      </w:r>
    </w:p>
    <w:p>
      <w:r>
        <w:t>Required settings are validated during startup. Missing required parameters cause safe startup failure without logging secrets.</w:t>
      </w:r>
    </w:p>
    <w:p>
      <w:pPr>
        <w:pStyle w:val="Heading2"/>
      </w:pPr>
      <w:r>
        <w:t>34.6.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35. Deployment</w:t>
      </w:r>
    </w:p>
    <w:p>
      <w:r>
        <w:t>Группа спецификации: Эксплуатация</w:t>
      </w:r>
    </w:p>
    <w:p>
      <w:r>
        <w:t>Target: VPS in the Netherlands, managed through Termius or any SSH client.</w:t>
      </w:r>
    </w:p>
    <w:p>
      <w:pPr>
        <w:pStyle w:val="Heading2"/>
      </w:pPr>
      <w:r>
        <w:t>35.1.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35.2.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35.3. Systemd Alternative</w:t>
      </w:r>
    </w:p>
    <w:p>
      <w:r>
        <w:t>Use Docker Compose for the first deployment. If systemd is required, copy</w:t>
      </w:r>
    </w:p>
    <w:p>
      <w:r>
        <w:t>`deploy/tiktok-loader-bot.service` to `/etc/systemd/system/` and adjust paths.</w:t>
      </w:r>
    </w:p>
    <w:p>
      <w:pPr>
        <w:pStyle w:val="Heading2"/>
      </w:pPr>
      <w:r>
        <w:t>35.4.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35.5. Telegram Webhook</w:t>
      </w:r>
    </w:p>
    <w:p>
      <w:r>
        <w:t>Development can use `TELEGRAM_DELIVERY_MODE=polling`. Production uses</w:t>
      </w:r>
    </w:p>
    <w:p>
      <w:r>
        <w:t>`TELEGRAM_DELIVERY_MODE=webhook`; the bot service registers</w:t>
      </w:r>
    </w:p>
    <w:p>
      <w:r>
        <w:t>`https://&lt;domain&gt;/api/v1/webhooks/telegram`, while FastAPI verifies</w:t>
      </w:r>
    </w:p>
    <w:p>
      <w:r>
        <w:t>`X-Telegram-Bot-Api-Secret-Token` and dispatches the update through aiogram. FSM data is stored in</w:t>
      </w:r>
    </w:p>
    <w:p>
      <w:r>
        <w:t>Redis so multiple API instances share state.</w:t>
      </w:r>
    </w:p>
    <w:p>
      <w:r>
        <w:t>Never configure a bot token that has appeared in chat, logs, source files, or Git. Revoke it in</w:t>
      </w:r>
    </w:p>
    <w:p>
      <w:r>
        <w:t>BotFather and place the replacement only in the server-side `.env`.</w:t>
      </w:r>
    </w:p>
    <w:p>
      <w:pPr>
        <w:pStyle w:val="Heading2"/>
      </w:pPr>
      <w:r>
        <w:t>35.6.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pPr>
        <w:sectPr>
          <w:pgSz w:w="12240" w:h="15840"/>
          <w:pgMar w:top="1440" w:right="1440" w:bottom="1440" w:left="1440" w:header="708" w:footer="708" w:gutter="0"/>
          <w:cols w:space="720"/>
          <w:docGrid w:linePitch="360"/>
        </w:sectPr>
      </w:pPr>
    </w:p>
    <w:p>
      <w:pPr>
        <w:pStyle w:val="Heading1"/>
      </w:pPr>
      <w:r>
        <w:t>36. Containerization</w:t>
      </w:r>
    </w:p>
    <w:p>
      <w:r>
        <w:t>Группа спецификации: Эксплуатация</w:t>
      </w:r>
    </w:p>
    <w:p>
      <w:pPr>
        <w:pStyle w:val="Heading2"/>
      </w:pPr>
      <w:r>
        <w:t>36.1.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36.2. Startup</w:t>
      </w:r>
    </w:p>
    <w:p>
      <w:pPr>
        <w:spacing w:after="160"/>
        <w:ind w:left="216"/>
      </w:pPr>
      <w:r>
        <w:rPr>
          <w:rFonts w:ascii="Courier New" w:hAnsi="Courier New"/>
          <w:sz w:val="17"/>
        </w:rPr>
        <w:t>cp .env.example .env</w:t>
        <w:br/>
        <w:t>docker compose up -d</w:t>
      </w:r>
    </w:p>
    <w:p>
      <w:pPr>
        <w:pStyle w:val="Heading2"/>
      </w:pPr>
      <w:r>
        <w:t>36.3.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36.4.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36.5.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Service continuity requirements are documented in Service Continuity Plan.</w:t>
      </w:r>
    </w:p>
    <w:p>
      <w:pPr>
        <w:pStyle w:val="Heading2"/>
      </w:pPr>
      <w:r>
        <w:t>36.6. Production Notes</w:t>
      </w:r>
    </w:p>
    <w:p>
      <w:pPr>
        <w:pStyle w:val="ListBullet"/>
      </w:pPr>
      <w:r>
        <w:t>Keep secrets only in `.env`.</w:t>
      </w:r>
    </w:p>
    <w:p>
      <w:pPr>
        <w:pStyle w:val="ListBullet"/>
      </w:pPr>
      <w:r>
        <w:t>Do not expose PostgreSQL or Redis ports.</w:t>
      </w:r>
    </w:p>
    <w:p>
      <w:pPr>
        <w:pStyle w:val="ListBullet"/>
      </w:pPr>
      <w:r>
        <w:t>Put TLS certificates under `deploy/nginx/certs` or terminate HTTPS at a managed load balancer.</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37. Production Launch Plan</w:t>
      </w:r>
    </w:p>
    <w:p>
      <w:r>
        <w:t>Группа спецификации: Эксплуатация</w:t>
      </w:r>
    </w:p>
    <w:p>
      <w:r>
        <w:t>End-to-end implementation stages are documented in Implementation Roadmap.</w:t>
      </w:r>
    </w:p>
    <w:p>
      <w:pPr>
        <w:pStyle w:val="Heading2"/>
      </w:pPr>
      <w:r>
        <w:t>37.1.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37.2. First Startup</w:t>
      </w:r>
    </w:p>
    <w:p>
      <w:pPr>
        <w:spacing w:after="160"/>
        <w:ind w:left="216"/>
      </w:pPr>
      <w:r>
        <w:rPr>
          <w:rFonts w:ascii="Courier New" w:hAnsi="Courier New"/>
          <w:sz w:val="17"/>
        </w:rPr>
        <w:t>docker compose up -d</w:t>
        <w:br/>
        <w:t>docker compose ps</w:t>
        <w:br/>
        <w:t>curl https://your-domain.example/health</w:t>
        <w:br/>
        <w:t>curl https://your-domain.example/ready</w:t>
        <w:br/>
        <w:t>curl https://your-domain.example/metrics</w:t>
      </w:r>
    </w:p>
    <w:p>
      <w:pPr>
        <w:pStyle w:val="Heading2"/>
      </w:pPr>
      <w:r>
        <w:t>37.3.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37.4.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37.5.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38. Operations Runbook</w:t>
      </w:r>
    </w:p>
    <w:p>
      <w:r>
        <w:t>Группа спецификации: Эксплуатация</w:t>
      </w:r>
    </w:p>
    <w:p>
      <w:pPr>
        <w:pStyle w:val="Heading2"/>
      </w:pPr>
      <w:r>
        <w:t>38.1.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38.2.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38.3.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38.4.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Pull the release tag.</w:t>
      </w:r>
    </w:p>
    <w:p>
      <w:pPr>
        <w:pStyle w:val="ListNumber"/>
      </w:pPr>
      <w:r>
        <w:t>Rebuild containers.</w:t>
      </w:r>
    </w:p>
    <w:p>
      <w:pPr>
        <w:pStyle w:val="ListNumber"/>
      </w:pPr>
      <w:r>
        <w:t>Apply Alembic migrations.</w:t>
      </w:r>
    </w:p>
    <w:p>
      <w:pPr>
        <w:pStyle w:val="ListNumber"/>
      </w:pPr>
      <w:r>
        <w:t>Restart services.</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38.5. Goal</w:t>
      </w:r>
    </w:p>
    <w:p>
      <w:r>
        <w:t>Maintenance should keep the service stable, secure, predictable, and recoverable while preserving user data integrity.</w:t>
      </w:r>
    </w:p>
    <w:p>
      <w:r>
        <w:t>Service continuity requirements are documented in Service Continuity Plan.</w:t>
      </w:r>
    </w:p>
    <w:p>
      <w:pPr>
        <w:pStyle w:val="Heading2"/>
      </w:pPr>
      <w:r>
        <w:t>38.6.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39. SOP Checklists</w:t>
      </w:r>
    </w:p>
    <w:p>
      <w:r>
        <w:t>Группа спецификации: Эксплуатация</w:t>
      </w:r>
    </w:p>
    <w:p>
      <w:pPr>
        <w:pStyle w:val="Heading2"/>
      </w:pPr>
      <w:r>
        <w:t>39.1.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39.2.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39.3.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39.4.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39.5.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39.6.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39.7.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39.8.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40. Maintenance Guide</w:t>
      </w:r>
    </w:p>
    <w:p>
      <w:r>
        <w:t>Группа спецификации: Эксплуатация</w:t>
      </w:r>
    </w:p>
    <w:p>
      <w:pPr>
        <w:pStyle w:val="Heading2"/>
      </w:pPr>
      <w:r>
        <w:t>40.1. Source of Truth</w:t>
      </w:r>
    </w:p>
    <w:p>
      <w:r>
        <w:t>GitHub repository `kredavto/Tik-Tok-bot-Rus-2` is the single source of code.</w:t>
      </w:r>
    </w:p>
    <w:p>
      <w:r>
        <w:t>All changes should go through pull requests. Direct production edits are not allowed.</w:t>
      </w:r>
    </w:p>
    <w:p>
      <w:pPr>
        <w:pStyle w:val="Heading2"/>
      </w:pPr>
      <w:r>
        <w:t>40.2.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40.3.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40.4.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40.5.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40.6.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40.7.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41. Post-Launch Maintenance and Versioning</w:t>
      </w:r>
    </w:p>
    <w:p>
      <w:r>
        <w:t>Группа спецификации: Эксплуатация</w:t>
      </w:r>
    </w:p>
    <w:p>
      <w:pPr>
        <w:pStyle w:val="Heading2"/>
      </w:pPr>
      <w:r>
        <w:t>41.1.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41.2. Maintenance Schedule</w:t>
      </w:r>
    </w:p>
    <w:p>
      <w:pPr>
        <w:pStyle w:val="Heading3"/>
      </w:pPr>
      <w:r>
        <w:t>41.2.1.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41.2.2.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41.2.3.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41.3.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41.4.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41.5.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41.6.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42.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42.1.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42.2.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42.3.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42.4.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43. Incident Management</w:t>
      </w:r>
    </w:p>
    <w:p>
      <w:r>
        <w:t>Группа спецификации: Эксплуатация</w:t>
      </w:r>
    </w:p>
    <w:p>
      <w:pPr>
        <w:pStyle w:val="Heading2"/>
      </w:pPr>
      <w:r>
        <w:t>43.1.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43.2.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43.3.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43.4.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43.5.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43.6.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44. Backup and Restore Policy</w:t>
      </w:r>
    </w:p>
    <w:p>
      <w:r>
        <w:t>Группа спецификации: Надежность</w:t>
      </w:r>
    </w:p>
    <w:p>
      <w:pPr>
        <w:pStyle w:val="Heading2"/>
      </w:pPr>
      <w:r>
        <w:t>44.1.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44.2.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44.3.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pPr>
        <w:pStyle w:val="Heading2"/>
      </w:pPr>
      <w:r>
        <w:t>44.4.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pPr>
        <w:pStyle w:val="Heading2"/>
      </w:pPr>
      <w:r>
        <w:t>44.5.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44.6.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44.7.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45. Service Continuity Plan</w:t>
      </w:r>
    </w:p>
    <w:p>
      <w:r>
        <w:t>Группа спецификации: Надежность</w:t>
      </w:r>
    </w:p>
    <w:p>
      <w:pPr>
        <w:pStyle w:val="Heading2"/>
      </w:pPr>
      <w:r>
        <w:t>45.1.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45.2.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45.3.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45.4.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45.5.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45.6.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46. Data Retention</w:t>
      </w:r>
    </w:p>
    <w:p>
      <w:r>
        <w:t>Группа спецификации: Надежность</w:t>
      </w:r>
    </w:p>
    <w:p>
      <w:pPr>
        <w:pStyle w:val="Heading2"/>
      </w:pPr>
      <w:r>
        <w:t>46.1.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46.2.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46.3.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47. File Storage Policy</w:t>
      </w:r>
    </w:p>
    <w:p>
      <w:r>
        <w:t>Группа спецификации: Надежность</w:t>
      </w:r>
    </w:p>
    <w:p>
      <w:pPr>
        <w:pStyle w:val="Heading2"/>
      </w:pPr>
      <w:r>
        <w:t>47.1.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47.2.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47.3.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47.4.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47.5.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47.6.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48. Queue and Retry Policy</w:t>
      </w:r>
    </w:p>
    <w:p>
      <w:r>
        <w:t>Группа спецификации: Надежность</w:t>
      </w:r>
    </w:p>
    <w:p>
      <w:pPr>
        <w:pStyle w:val="Heading2"/>
      </w:pPr>
      <w:r>
        <w:t>48.1.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48.2.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48.3.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48.4.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48.5.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48.6.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48.7.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48.8.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48.9.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49. Performance and Scaling</w:t>
      </w:r>
    </w:p>
    <w:p>
      <w:r>
        <w:t>Группа спецификации: Производительность</w:t>
      </w:r>
    </w:p>
    <w:p>
      <w:r>
        <w:t>Performance-related non-functional requirements are summarized in Non-Functional Requirements.</w:t>
      </w:r>
    </w:p>
    <w:p>
      <w:pPr>
        <w:pStyle w:val="Heading2"/>
      </w:pPr>
      <w:r>
        <w:t>49.1.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49.2.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49.3.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49.4.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49.5.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50. Capacity and Performance Management</w:t>
      </w:r>
    </w:p>
    <w:p>
      <w:r>
        <w:t>Группа спецификации: Производительность</w:t>
      </w:r>
    </w:p>
    <w:p>
      <w:pPr>
        <w:pStyle w:val="Heading2"/>
      </w:pPr>
      <w:r>
        <w:t>50.1.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50.2.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50.3.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50.4.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50.5.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50.6.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51. Metrics and KPI</w:t>
      </w:r>
    </w:p>
    <w:p>
      <w:r>
        <w:t>Группа спецификации: Производительность</w:t>
      </w:r>
    </w:p>
    <w:p>
      <w:pPr>
        <w:pStyle w:val="Heading2"/>
      </w:pPr>
      <w:r>
        <w:t>51.1.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51.2.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51.3.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51.4.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51.5.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52. Observability and Diagnostics</w:t>
      </w:r>
    </w:p>
    <w:p>
      <w:r>
        <w:t>Группа спецификации: Наблюдаемость</w:t>
      </w:r>
    </w:p>
    <w:p>
      <w:r>
        <w:t>Security logging and audit requirements are defined in Security Logging and Audit.</w:t>
      </w:r>
    </w:p>
    <w:p>
      <w:pPr>
        <w:pStyle w:val="Heading2"/>
      </w:pPr>
      <w:r>
        <w:t>52.1.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52.2.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52.3.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52.4.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52.5.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52.6.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53.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53.1.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53.2.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53.3.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53.4.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53.5.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54. GitHub Workflow</w:t>
      </w:r>
    </w:p>
    <w:p>
      <w:r>
        <w:t>Группа спецификации: Разработка</w:t>
      </w:r>
    </w:p>
    <w:p>
      <w:pPr>
        <w:pStyle w:val="Heading2"/>
      </w:pPr>
      <w:r>
        <w:t>54.1. Repository</w:t>
      </w:r>
    </w:p>
    <w:p>
      <w:r>
        <w:t>The source of truth is `kredavto/Tik-Tok-bot-Rus-2`.</w:t>
      </w:r>
    </w:p>
    <w:p>
      <w:r>
        <w:t>GitHub stores source code, documentation, CI history, pull requests, issues, and release tags.</w:t>
      </w:r>
    </w:p>
    <w:p>
      <w:pPr>
        <w:pStyle w:val="Heading2"/>
      </w:pPr>
      <w:r>
        <w:t>54.2.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54.3.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54.4.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54.5.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54.6.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55. Feature Development Plan</w:t>
      </w:r>
    </w:p>
    <w:p>
      <w:r>
        <w:t>Группа спецификации: Разработка</w:t>
      </w:r>
    </w:p>
    <w:p>
      <w:pPr>
        <w:pStyle w:val="Heading2"/>
      </w:pPr>
      <w:r>
        <w:t>55.1.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55.2.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55.3.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55.4.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55.5.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56.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56.1.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56.2.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56.3.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56.4.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56.5.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56.6.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57. Dependencies and Third-Party Services</w:t>
      </w:r>
    </w:p>
    <w:p>
      <w:r>
        <w:t>Группа спецификации: Зависимости</w:t>
      </w:r>
    </w:p>
    <w:p>
      <w:pPr>
        <w:pStyle w:val="Heading2"/>
      </w:pPr>
      <w:r>
        <w:t>57.1.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57.2.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57.3.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57.4.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57.5.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57.6.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58.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58.1.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58.2.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58.3.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58.4.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58.5.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58.6.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58.7.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59.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59.1.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59.2.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59.3.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59.4.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59.5.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59.6.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60. Migration and Version Compatibility Plan</w:t>
      </w:r>
    </w:p>
    <w:p>
      <w:r>
        <w:t>Группа спецификации: Релизы</w:t>
      </w:r>
    </w:p>
    <w:p>
      <w:pPr>
        <w:pStyle w:val="Heading2"/>
      </w:pPr>
      <w:r>
        <w:t>60.1.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60.2.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60.3.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60.4.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60.5.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60.6.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60.7.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61. Release Management</w:t>
      </w:r>
    </w:p>
    <w:p>
      <w:r>
        <w:t>Группа спецификации: Релизы</w:t>
      </w:r>
    </w:p>
    <w:p>
      <w:pPr>
        <w:pStyle w:val="Heading2"/>
      </w:pPr>
      <w:r>
        <w:t>61.1.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61.2.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61.3.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61.4. Production Update</w:t>
      </w:r>
    </w:p>
    <w:p>
      <w:pPr>
        <w:spacing w:after="160"/>
        <w:ind w:left="216"/>
      </w:pPr>
      <w:r>
        <w:rPr>
          <w:rFonts w:ascii="Courier New" w:hAnsi="Courier New"/>
          <w:sz w:val="17"/>
        </w:rPr>
        <w:t>bash deploy/backup_postgres.sh</w:t>
        <w:br/>
        <w:t>git fetch --tags</w:t>
        <w:br/>
        <w:t>git checkout vX.Y.Z</w:t>
        <w:br/>
        <w:t>docker compose build</w:t>
        <w:br/>
        <w:t>docker compose run --rm api alembic upgrade head</w:t>
        <w:br/>
        <w:t>docker compose up -d</w:t>
        <w:br/>
        <w:t>curl https://your-domain.example/health</w:t>
        <w:br/>
        <w:t>curl https://your-domain.example/ready</w:t>
      </w:r>
    </w:p>
    <w:p>
      <w:pPr>
        <w:pStyle w:val="Heading2"/>
      </w:pPr>
      <w:r>
        <w:t>61.5. Rollback</w:t>
      </w:r>
    </w:p>
    <w:p>
      <w:pPr>
        <w:pStyle w:val="ListNumber"/>
      </w:pPr>
      <w:r>
        <w:t>Stop intake with `intake_enabled=false`.</w:t>
      </w:r>
    </w:p>
    <w:p>
      <w:pPr>
        <w:pStyle w:val="ListNumber"/>
      </w:pPr>
      <w:r>
        <w:t>Check out the previous stable tag.</w:t>
      </w:r>
    </w:p>
    <w:p>
      <w:pPr>
        <w:pStyle w:val="ListNumber"/>
      </w:pPr>
      <w:r>
        <w:t>Rebuild and restart containers.</w:t>
      </w:r>
    </w:p>
    <w:p>
      <w:pPr>
        <w:pStyle w:val="ListNumber"/>
      </w:pPr>
      <w:r>
        <w:t>Restore the database backup if the failed release changed data incompatibly.</w:t>
      </w:r>
    </w:p>
    <w:p>
      <w:pPr>
        <w:pStyle w:val="ListNumber"/>
      </w:pPr>
      <w:r>
        <w:t>Check health and readiness.</w:t>
      </w:r>
    </w:p>
    <w:p>
      <w:pPr>
        <w:pStyle w:val="ListNumber"/>
      </w:pPr>
      <w:r>
        <w:t>Re-enable intake.</w:t>
      </w:r>
    </w:p>
    <w:p>
      <w:pPr>
        <w:pStyle w:val="Heading2"/>
      </w:pPr>
      <w:r>
        <w:t>61.6.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62. Change Acceptance Policy</w:t>
      </w:r>
    </w:p>
    <w:p>
      <w:r>
        <w:t>Группа спецификации: Релизы</w:t>
      </w:r>
    </w:p>
    <w:p>
      <w:pPr>
        <w:pStyle w:val="Heading2"/>
      </w:pPr>
      <w:r>
        <w:t>62.1.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62.2.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62.3.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62.4.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62.5.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63. QA Test Data and Acceptance Scenarios</w:t>
      </w:r>
    </w:p>
    <w:p>
      <w:r>
        <w:t>Группа спецификации: Качество</w:t>
      </w:r>
    </w:p>
    <w:p>
      <w:r>
        <w:t>Requirement-to-test mapping is maintained in Requirements Traceability Matrix.</w:t>
      </w:r>
    </w:p>
    <w:p>
      <w:pPr>
        <w:pStyle w:val="Heading2"/>
      </w:pPr>
      <w:r>
        <w:t>63.1.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63.2. Acceptance Scenarios</w:t>
      </w:r>
    </w:p>
    <w:p>
      <w:pPr>
        <w:pStyle w:val="Heading3"/>
      </w:pPr>
      <w:r>
        <w:t>63.2.1. New User Registration</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63.2.2. TikTok OAuth Connection</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63.2.3. Successful Video Publication</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63.2.4. Daily Limit Exceeded</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63.2.5. PRO Purchase Through Robokassa</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63.2.6. Automatic Return to FREE</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63.2.7. Repeated Webhook</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63.2.8. Temporary Queue Failure Recovery</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63.3.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63.4.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64.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64.1.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64.2.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64.3.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64.4.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65. Requirements Traceability Matrix</w:t>
      </w:r>
    </w:p>
    <w:p>
      <w:r>
        <w:t>Группа спецификации: Приложения</w:t>
      </w:r>
    </w:p>
    <w:p>
      <w:pPr>
        <w:pStyle w:val="Heading2"/>
      </w:pPr>
      <w:r>
        <w:t>65.1. Purpose</w:t>
      </w:r>
    </w:p>
    <w:p>
      <w:r>
        <w:t>Each functional requirement must have a stable identifier and a visible link to implementation, tests, and documentation.</w:t>
      </w:r>
    </w:p>
    <w:p>
      <w:pPr>
        <w:pStyle w:val="Heading2"/>
      </w:pPr>
      <w:r>
        <w:t>65.2. Initial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w:t>
            </w:r>
          </w:p>
        </w:tc>
        <w:tc>
          <w:tcPr>
            <w:tcW w:type="dxa" w:w="1560"/>
            <w:shd w:fill="E8EEF5"/>
            <w:vAlign w:val="center"/>
          </w:tcPr>
          <w:p>
            <w:pPr>
              <w:spacing w:after="0" w:line="252" w:lineRule="auto"/>
            </w:pPr>
            <w:r>
              <w:rPr>
                <w:b/>
              </w:rPr>
              <w:t>Documentation</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Telegram Bot</w:t>
            </w:r>
          </w:p>
        </w:tc>
        <w:tc>
          <w:tcPr>
            <w:tcW w:type="dxa" w:w="1560"/>
            <w:vAlign w:val="center"/>
          </w:tcPr>
          <w:p>
            <w:pPr>
              <w:spacing w:after="0" w:line="252" w:lineRule="auto"/>
            </w:pPr>
            <w:r>
              <w:t>`QA-REG-001`</w:t>
            </w:r>
          </w:p>
        </w:tc>
        <w:tc>
          <w:tcPr>
            <w:tcW w:type="dxa" w:w="1560"/>
            <w:vAlign w:val="center"/>
          </w:tcPr>
          <w:p>
            <w:pPr>
              <w:spacing w:after="0" w:line="252" w:lineRule="auto"/>
            </w:pPr>
            <w:r>
              <w:t>Users Entity, QA Scenarios</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FastAPI / OAuth</w:t>
            </w:r>
          </w:p>
        </w:tc>
        <w:tc>
          <w:tcPr>
            <w:tcW w:type="dxa" w:w="1560"/>
            <w:vAlign w:val="center"/>
          </w:tcPr>
          <w:p>
            <w:pPr>
              <w:spacing w:after="0" w:line="252" w:lineRule="auto"/>
            </w:pPr>
            <w:r>
              <w:t>`QA-OAUTH-001`</w:t>
            </w:r>
          </w:p>
        </w:tc>
        <w:tc>
          <w:tcPr>
            <w:tcW w:type="dxa" w:w="1560"/>
            <w:vAlign w:val="center"/>
          </w:tcPr>
          <w:p>
            <w:pPr>
              <w:spacing w:after="0" w:line="252" w:lineRule="auto"/>
            </w:pPr>
            <w:r>
              <w:t>TikTok Developer Configuration, Public REST API</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PRO/BUSINESS payment</w:t>
            </w:r>
          </w:p>
        </w:tc>
        <w:tc>
          <w:tcPr>
            <w:tcW w:type="dxa" w:w="1560"/>
            <w:vAlign w:val="center"/>
          </w:tcPr>
          <w:p>
            <w:pPr>
              <w:spacing w:after="0" w:line="252" w:lineRule="auto"/>
            </w:pPr>
            <w:r>
              <w:t>Robokassa</w:t>
            </w:r>
          </w:p>
        </w:tc>
        <w:tc>
          <w:tcPr>
            <w:tcW w:type="dxa" w:w="1560"/>
            <w:vAlign w:val="center"/>
          </w:tcPr>
          <w:p>
            <w:pPr>
              <w:spacing w:after="0" w:line="252" w:lineRule="auto"/>
            </w:pPr>
            <w:r>
              <w:t>`QA-PAY-001`</w:t>
            </w:r>
          </w:p>
        </w:tc>
        <w:tc>
          <w:tcPr>
            <w:tcW w:type="dxa" w:w="1560"/>
            <w:vAlign w:val="center"/>
          </w:tcPr>
          <w:p>
            <w:pPr>
              <w:spacing w:after="0" w:line="252" w:lineRule="auto"/>
            </w:pPr>
            <w:r>
              <w:t>Payments Entity, Robokassa Setup</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 API</w:t>
            </w:r>
          </w:p>
        </w:tc>
        <w:tc>
          <w:tcPr>
            <w:tcW w:type="dxa" w:w="1560"/>
            <w:vAlign w:val="center"/>
          </w:tcPr>
          <w:p>
            <w:pPr>
              <w:spacing w:after="0" w:line="252" w:lineRule="auto"/>
            </w:pPr>
            <w:r>
              <w:t>`QA-UPL-001`</w:t>
            </w:r>
          </w:p>
        </w:tc>
        <w:tc>
          <w:tcPr>
            <w:tcW w:type="dxa" w:w="1560"/>
            <w:vAlign w:val="center"/>
          </w:tcPr>
          <w:p>
            <w:pPr>
              <w:spacing w:after="0" w:line="252" w:lineRule="auto"/>
            </w:pPr>
            <w:r>
              <w:t>Upload Jobs Entity, Video Lifecycle</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`daily_usage`</w:t>
            </w:r>
          </w:p>
        </w:tc>
        <w:tc>
          <w:tcPr>
            <w:tcW w:type="dxa" w:w="1560"/>
            <w:vAlign w:val="center"/>
          </w:tcPr>
          <w:p>
            <w:pPr>
              <w:spacing w:after="0" w:line="252" w:lineRule="auto"/>
            </w:pPr>
            <w:r>
              <w:t>`QA-LIMIT-001`</w:t>
            </w:r>
          </w:p>
        </w:tc>
        <w:tc>
          <w:tcPr>
            <w:tcW w:type="dxa" w:w="1560"/>
            <w:vAlign w:val="center"/>
          </w:tcPr>
          <w:p>
            <w:pPr>
              <w:spacing w:after="0" w:line="252" w:lineRule="auto"/>
            </w:pPr>
            <w:r>
              <w:t>Daily Usage Entity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Performance, reliability, security, maintainability, and scalability controls</w:t>
            </w:r>
          </w:p>
        </w:tc>
        <w:tc>
          <w:tcPr>
            <w:tcW w:type="dxa" w:w="1560"/>
            <w:vAlign w:val="center"/>
          </w:tcPr>
          <w:p>
            <w:pPr>
              <w:spacing w:after="0" w:line="252" w:lineRule="auto"/>
            </w:pPr>
            <w:r>
              <w:t>Cross-cutting</w:t>
            </w:r>
          </w:p>
        </w:tc>
        <w:tc>
          <w:tcPr>
            <w:tcW w:type="dxa" w:w="1560"/>
            <w:vAlign w:val="center"/>
          </w:tcPr>
          <w:p>
            <w:pPr>
              <w:spacing w:after="0" w:line="252" w:lineRule="auto"/>
            </w:pPr>
            <w:r>
              <w:t>Release readiness checks</w:t>
            </w:r>
          </w:p>
        </w:tc>
        <w:tc>
          <w:tcPr>
            <w:tcW w:type="dxa" w:w="1560"/>
            <w:vAlign w:val="center"/>
          </w:tcPr>
          <w:p>
            <w:pPr>
              <w:spacing w:after="0" w:line="252" w:lineRule="auto"/>
            </w:pPr>
            <w:r>
              <w:t>Non-Functional Requirements</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Observability / Audit</w:t>
            </w:r>
          </w:p>
        </w:tc>
        <w:tc>
          <w:tcPr>
            <w:tcW w:type="dxa" w:w="1560"/>
            <w:vAlign w:val="center"/>
          </w:tcPr>
          <w:p>
            <w:pPr>
              <w:spacing w:after="0" w:line="252" w:lineRule="auto"/>
            </w:pPr>
            <w:r>
              <w:t>Release readiness checks</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Deployment / Operations</w:t>
            </w:r>
          </w:p>
        </w:tc>
        <w:tc>
          <w:tcPr>
            <w:tcW w:type="dxa" w:w="1560"/>
            <w:vAlign w:val="center"/>
          </w:tcPr>
          <w:p>
            <w:pPr>
              <w:spacing w:after="0" w:line="252" w:lineRule="auto"/>
            </w:pPr>
            <w:r>
              <w:t>Post-update checks</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 management</w:t>
            </w:r>
          </w:p>
        </w:tc>
        <w:tc>
          <w:tcPr>
            <w:tcW w:type="dxa" w:w="1560"/>
            <w:vAlign w:val="center"/>
          </w:tcPr>
          <w:p>
            <w:pPr>
              <w:spacing w:after="0" w:line="252" w:lineRule="auto"/>
            </w:pPr>
            <w:r>
              <w:t>Security / Configuration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Confidential Data Policy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Specification index and 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Specification Index</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Configuration / Security</w:t>
            </w:r>
          </w:p>
        </w:tc>
        <w:tc>
          <w:tcPr>
            <w:tcW w:type="dxa" w:w="1560"/>
            <w:vAlign w:val="center"/>
          </w:tcPr>
          <w:p>
            <w:pPr>
              <w:spacing w:after="0" w:line="252" w:lineRule="auto"/>
            </w:pPr>
            <w:r>
              <w:t>Release readiness checks</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 management</w:t>
            </w:r>
          </w:p>
        </w:tc>
        <w:tc>
          <w:tcPr>
            <w:tcW w:type="dxa" w:w="1560"/>
            <w:vAlign w:val="center"/>
          </w:tcPr>
          <w:p>
            <w:pPr>
              <w:spacing w:after="0" w:line="252" w:lineRule="auto"/>
            </w:pPr>
            <w:r>
              <w:t>Development / Maintenance</w:t>
            </w:r>
          </w:p>
        </w:tc>
        <w:tc>
          <w:tcPr>
            <w:tcW w:type="dxa" w:w="1560"/>
            <w:vAlign w:val="center"/>
          </w:tcPr>
          <w:p>
            <w:pPr>
              <w:spacing w:after="0" w:line="252" w:lineRule="auto"/>
            </w:pPr>
            <w:r>
              <w:t>Release readiness checks</w:t>
            </w:r>
          </w:p>
        </w:tc>
        <w:tc>
          <w:tcPr>
            <w:tcW w:type="dxa" w:w="1560"/>
            <w:vAlign w:val="center"/>
          </w:tcPr>
          <w:p>
            <w:pPr>
              <w:spacing w:after="0" w:line="252" w:lineRule="auto"/>
            </w:pPr>
            <w:r>
              <w:t>Technical Debt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Dependencies / Release</w:t>
            </w:r>
          </w:p>
        </w:tc>
        <w:tc>
          <w:tcPr>
            <w:tcW w:type="dxa" w:w="1560"/>
            <w:vAlign w:val="center"/>
          </w:tcPr>
          <w:p>
            <w:pPr>
              <w:spacing w:after="0" w:line="252" w:lineRule="auto"/>
            </w:pPr>
            <w:r>
              <w:t>Release readiness checks</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REST API / OpenAPI</w:t>
            </w:r>
          </w:p>
        </w:tc>
        <w:tc>
          <w:tcPr>
            <w:tcW w:type="dxa" w:w="1560"/>
            <w:vAlign w:val="center"/>
          </w:tcPr>
          <w:p>
            <w:pPr>
              <w:spacing w:after="0" w:line="252" w:lineRule="auto"/>
            </w:pPr>
            <w:r>
              <w:t>Compatibility checks</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Planned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Final implementation roadmap</w:t>
            </w:r>
          </w:p>
        </w:tc>
        <w:tc>
          <w:tcPr>
            <w:tcW w:type="dxa" w:w="1560"/>
            <w:vAlign w:val="center"/>
          </w:tcPr>
          <w:p>
            <w:pPr>
              <w:spacing w:after="0" w:line="252" w:lineRule="auto"/>
            </w:pPr>
            <w:r>
              <w:t>Delivery / Release</w:t>
            </w:r>
          </w:p>
        </w:tc>
        <w:tc>
          <w:tcPr>
            <w:tcW w:type="dxa" w:w="1560"/>
            <w:vAlign w:val="center"/>
          </w:tcPr>
          <w:p>
            <w:pPr>
              <w:spacing w:after="0" w:line="252" w:lineRule="auto"/>
            </w:pPr>
            <w:r>
              <w:t>Roadmap control points</w:t>
            </w:r>
          </w:p>
        </w:tc>
        <w:tc>
          <w:tcPr>
            <w:tcW w:type="dxa" w:w="1560"/>
            <w:vAlign w:val="center"/>
          </w:tcPr>
          <w:p>
            <w:pPr>
              <w:spacing w:after="0" w:line="252" w:lineRule="auto"/>
            </w:pPr>
            <w:r>
              <w:t>Implementation Roadmap</w:t>
            </w:r>
          </w:p>
        </w:tc>
        <w:tc>
          <w:tcPr>
            <w:tcW w:type="dxa" w:w="1560"/>
            <w:vAlign w:val="center"/>
          </w:tcPr>
          <w:p>
            <w:pPr>
              <w:spacing w:after="0" w:line="252" w:lineRule="auto"/>
            </w:pPr>
            <w:r>
              <w:t>Planned</w:t>
            </w:r>
          </w:p>
        </w:tc>
      </w:tr>
    </w:tbl>
    <w:p/>
    <w:p>
      <w:pPr>
        <w:pStyle w:val="Heading2"/>
      </w:pPr>
      <w:r>
        <w:t>65.3.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65.4.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66. Glossary and Naming Conventions</w:t>
      </w:r>
    </w:p>
    <w:p>
      <w:r>
        <w:t>Группа спецификации: Приложения</w:t>
      </w:r>
    </w:p>
    <w:p>
      <w:pPr>
        <w:pStyle w:val="Heading2"/>
      </w:pPr>
      <w:r>
        <w:t>66.1.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66.2.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66.3.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66.4.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67.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67.1.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67.2.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67.3.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67.4.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67.5.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67.6.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68. Risk Management</w:t>
      </w:r>
    </w:p>
    <w:p>
      <w:r>
        <w:t>Группа спецификации: Приложения</w:t>
      </w:r>
    </w:p>
    <w:p>
      <w:pPr>
        <w:pStyle w:val="Heading2"/>
      </w:pPr>
      <w:r>
        <w:t>68.1.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68.2.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68.3.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68.4.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