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00" w:line="320" w:lineRule="auto"/>
        <w:jc w:val="center"/>
      </w:pPr>
      <w:r>
        <w:rPr>
          <w:rFonts w:ascii="Calibri" w:hAnsi="Calibri"/>
          <w:b/>
          <w:i w:val="0"/>
          <w:color w:val="FF6A1A"/>
          <w:sz w:val="20"/>
        </w:rPr>
        <w:t>MODELOS DE INVERSIÓN Y OPERACIÓN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291840" cy="13164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r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316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20" w:lineRule="auto"/>
        <w:jc w:val="center"/>
      </w:pPr>
      <w:r>
        <w:rPr>
          <w:rFonts w:ascii="Calibri" w:hAnsi="Calibri"/>
          <w:b/>
          <w:i w:val="0"/>
          <w:color w:val="20242C"/>
          <w:sz w:val="44"/>
        </w:rPr>
        <w:t>Dossier comercial para potenciales inversionistas y operadores</w:t>
      </w:r>
    </w:p>
    <w:p>
      <w:pPr>
        <w:spacing w:before="0" w:after="320" w:line="320" w:lineRule="auto"/>
        <w:jc w:val="center"/>
      </w:pPr>
      <w:r>
        <w:rPr>
          <w:rFonts w:ascii="Calibri" w:hAnsi="Calibri"/>
          <w:b w:val="0"/>
          <w:i w:val="0"/>
          <w:color w:val="626A75"/>
          <w:sz w:val="25"/>
        </w:rPr>
        <w:t>Infraestructura de lavado a presión + automatización + software + marca + soporte</w:t>
      </w:r>
    </w:p>
    <w:p>
      <w:pPr>
        <w:spacing w:after="280"/>
        <w:pBdr>
          <w:bottom w:val="single" w:sz="22" w:space="1" w:color="FF6A1A"/>
        </w:pBdr>
      </w:pP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GUÍA DE DECISIÓN</w:t>
      </w:r>
    </w:p>
    <w:p>
      <w:pPr>
        <w:pStyle w:val="Heading1"/>
        <w:keepNext/>
      </w:pPr>
      <w:r>
        <w:t>Cómo usar este documento</w:t>
      </w:r>
    </w:p>
    <w:p>
      <w:pPr>
        <w:spacing w:before="0" w:after="240" w:line="320" w:lineRule="auto"/>
      </w:pPr>
      <w:r>
        <w:rPr>
          <w:rFonts w:ascii="Calibri" w:hAnsi="Calibri"/>
          <w:b w:val="0"/>
          <w:i w:val="0"/>
          <w:color w:val="626A75"/>
          <w:sz w:val="23"/>
        </w:rPr>
        <w:t>Este dossier permite entender qué vende Novawash, comparar tres modalidades y entregar la información mínima para evaluar una ubicación.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D5FD1"/>
          <w:left w:val="single" w:sz="8" w:space="0" w:color="1D5FD1"/>
          <w:bottom w:val="single" w:sz="8" w:space="0" w:color="1D5FD1"/>
          <w:right w:val="single" w:sz="8" w:space="0" w:color="1D5FD1"/>
          <w:insideH w:val="single" w:sz="8" w:space="0" w:color="1D5FD1"/>
          <w:insideV w:val="single" w:sz="8" w:space="0" w:color="1D5FD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FF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D5FD1"/>
                <w:sz w:val="22"/>
              </w:rPr>
              <w:t>Recomendación de etapa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191D"/>
                <w:sz w:val="21"/>
              </w:rPr>
              <w:t>Novawash está en estructuración y lanzamiento. Mientras no exista una sede propia con históricos auditables, conviene vender licencia de marca y tecnología, equipos y proyecto llave en mano. La denominación “franquicia” y cualquier promesa financiera deben validarse jurídicamente.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Ruta rápida</w:t>
      </w:r>
    </w:p>
    <w:p>
      <w:pPr>
        <w:pStyle w:val="ListNumber"/>
        <w:spacing w:after="80" w:line="290" w:lineRule="auto"/>
      </w:pPr>
      <w:r>
        <w:rPr>
          <w:rFonts w:ascii="Calibri" w:hAnsi="Calibri"/>
          <w:color w:val="17191D"/>
          <w:sz w:val="21"/>
        </w:rPr>
        <w:t>Lea la fotografía actual para distinguir capacidades confirmadas de funcionalidades planeadas.</w:t>
      </w:r>
    </w:p>
    <w:p>
      <w:pPr>
        <w:pStyle w:val="ListNumber"/>
        <w:spacing w:after="80" w:line="290" w:lineRule="auto"/>
      </w:pPr>
      <w:r>
        <w:rPr>
          <w:rFonts w:ascii="Calibri" w:hAnsi="Calibri"/>
          <w:color w:val="17191D"/>
          <w:sz w:val="21"/>
        </w:rPr>
        <w:t>Compare los cuatro modelos y marque el que mejor coincide con su capital, local y experiencia.</w:t>
      </w:r>
    </w:p>
    <w:p>
      <w:pPr>
        <w:pStyle w:val="ListNumber"/>
        <w:spacing w:after="80" w:line="290" w:lineRule="auto"/>
      </w:pPr>
      <w:r>
        <w:rPr>
          <w:rFonts w:ascii="Calibri" w:hAnsi="Calibri"/>
          <w:color w:val="17191D"/>
          <w:sz w:val="21"/>
        </w:rPr>
        <w:t>Revise responsabilidades, propiedad de activos, territorio y costos recurrentes.</w:t>
      </w:r>
    </w:p>
    <w:p>
      <w:pPr>
        <w:pStyle w:val="ListNumber"/>
        <w:spacing w:after="80" w:line="290" w:lineRule="auto"/>
      </w:pPr>
      <w:r>
        <w:rPr>
          <w:rFonts w:ascii="Calibri" w:hAnsi="Calibri"/>
          <w:color w:val="17191D"/>
          <w:sz w:val="21"/>
        </w:rPr>
        <w:t>Complete la ficha final. Novawash realizará una prefactibilidad antes de cotizar.</w:t>
      </w:r>
    </w:p>
    <w:p>
      <w:pPr>
        <w:pStyle w:val="Heading2"/>
        <w:keepNext/>
      </w:pPr>
      <w:r>
        <w:t>Convenciones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4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9"/>
              </w:rPr>
              <w:t>CONFIRMADO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9"/>
              </w:rPr>
              <w:t>Existe evidencia en el proyecto o fue declarado expresamente por Novawash.</w:t>
            </w:r>
          </w:p>
        </w:tc>
      </w:tr>
      <w:tr>
        <w:trPr>
          <w:cantSplit/>
        </w:trPr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9"/>
              </w:rPr>
              <w:t>POR DEFINIR</w:t>
            </w:r>
          </w:p>
        </w:tc>
        <w:tc>
          <w:tcPr>
            <w:tcW w:type="dxa" w:w="74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9"/>
              </w:rPr>
              <w:t>Falta cotización, política, contrato, prueba de ingeniería o decisión comercial.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9"/>
              </w:rPr>
              <w:t>ILUSTRATIVO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9"/>
              </w:rPr>
              <w:t>Ejemplo de cálculo; no es resultado histórico ni promesa de rentabilidad.</w:t>
            </w:r>
          </w:p>
        </w:tc>
      </w:tr>
    </w:tbl>
    <w:p>
      <w:pPr>
        <w:spacing w:before="0" w:after="60" w:line="320" w:lineRule="auto"/>
      </w:pP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01</w:t>
      </w:r>
    </w:p>
    <w:p>
      <w:pPr>
        <w:pStyle w:val="Heading1"/>
        <w:keepNext/>
      </w:pPr>
      <w:r>
        <w:t>Novawash hoy: base real del proyecto</w:t>
      </w:r>
    </w:p>
    <w:p>
      <w:pPr>
        <w:spacing w:before="0" w:after="240" w:line="320" w:lineRule="auto"/>
      </w:pPr>
      <w:r>
        <w:rPr>
          <w:rFonts w:ascii="Calibri" w:hAnsi="Calibri"/>
          <w:b w:val="0"/>
          <w:i w:val="0"/>
          <w:color w:val="626A75"/>
          <w:sz w:val="23"/>
        </w:rPr>
        <w:t>La propuesta parte de activos y capacidades existentes; no de una idea puramente conceptual.</w:t>
      </w:r>
    </w:p>
    <w:p>
      <w:pPr>
        <w:pStyle w:val="Heading2"/>
        <w:keepNext/>
      </w:pPr>
      <w:r>
        <w:t>Capacidades confirmadas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Software web con portal de cliente, backoffice, lector QR, registro de clientes y placas.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QR único, saldo, historial, notificaciones y control de lavadas.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Plan básico publicado a $35.000 COP por lavada; plan premium a $50.000 COP al mes con dos lavadas no acumulables y descuento lógico de $25.000 por uso.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Recargas en efectivo por personal y flujo Wompi; backoffice con métricas, filtros y auditoría.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Bono de bienvenida de $10.000 y bono de fidelidad de $25.000 cada diez lavadas, según la lógica actual.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Dominio novawash.com.co, despliegue GitHub–Hostinger, marca visual y materiales comerciales.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Máquina/equipos e ingeniero capaz de diseñar la maquinaria e instalar el sistema de lavado a presión, según declaración de Novawash.</w:t>
      </w:r>
    </w:p>
    <w:p>
      <w:pPr>
        <w:pStyle w:val="Heading2"/>
        <w:keepNext/>
      </w:pPr>
      <w:r>
        <w:t>Arquitectura funcional observada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500"/>
        <w:gridCol w:w="2550"/>
        <w:gridCol w:w="5310"/>
      </w:tblGrid>
      <w:tr>
        <w:trPr>
          <w:tblHeader w:val="true"/>
        </w:trPr>
        <w:tc>
          <w:tcPr>
            <w:tcW w:type="dxa" w:w="1500"/>
            <w:shd w:fill="20242C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Capa</w:t>
            </w:r>
          </w:p>
        </w:tc>
        <w:tc>
          <w:tcPr>
            <w:tcW w:type="dxa" w:w="2550"/>
            <w:shd w:fill="20242C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5310"/>
            <w:shd w:fill="20242C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Función</w:t>
            </w:r>
          </w:p>
        </w:tc>
      </w:tr>
      <w:tr>
        <w:trPr>
          <w:cantSplit/>
        </w:trPr>
        <w:tc>
          <w:tcPr>
            <w:tcW w:type="dxa" w:w="15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Experiencia</w:t>
            </w:r>
          </w:p>
        </w:tc>
        <w:tc>
          <w:tcPr>
            <w:tcW w:type="dxa" w:w="255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Sitio público</w:t>
            </w:r>
          </w:p>
        </w:tc>
        <w:tc>
          <w:tcPr>
            <w:tcW w:type="dxa" w:w="531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Marca, beneficios, precios al consumidor, registro y captación de interesados.</w:t>
            </w:r>
          </w:p>
        </w:tc>
      </w:tr>
      <w:tr>
        <w:trPr>
          <w:cantSplit/>
        </w:trPr>
        <w:tc>
          <w:tcPr>
            <w:tcW w:type="dxa" w:w="150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Cliente</w:t>
            </w:r>
          </w:p>
        </w:tc>
        <w:tc>
          <w:tcPr>
            <w:tcW w:type="dxa" w:w="255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Portal Novawash</w:t>
            </w:r>
          </w:p>
        </w:tc>
        <w:tc>
          <w:tcPr>
            <w:tcW w:type="dxa" w:w="531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QR, saldo, membresía, Wompi, perfil, fidelidad e historial.</w:t>
            </w:r>
          </w:p>
        </w:tc>
      </w:tr>
      <w:tr>
        <w:trPr>
          <w:cantSplit/>
        </w:trPr>
        <w:tc>
          <w:tcPr>
            <w:tcW w:type="dxa" w:w="15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Operación</w:t>
            </w:r>
          </w:p>
        </w:tc>
        <w:tc>
          <w:tcPr>
            <w:tcW w:type="dxa" w:w="255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Lector QR</w:t>
            </w:r>
          </w:p>
        </w:tc>
        <w:tc>
          <w:tcPr>
            <w:tcW w:type="dxa" w:w="531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Valida al cliente, cobra según plan y confirma la lavada.</w:t>
            </w:r>
          </w:p>
        </w:tc>
      </w:tr>
      <w:tr>
        <w:trPr>
          <w:cantSplit/>
        </w:trPr>
        <w:tc>
          <w:tcPr>
            <w:tcW w:type="dxa" w:w="150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Administración</w:t>
            </w:r>
          </w:p>
        </w:tc>
        <w:tc>
          <w:tcPr>
            <w:tcW w:type="dxa" w:w="255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Backoffice</w:t>
            </w:r>
          </w:p>
        </w:tc>
        <w:tc>
          <w:tcPr>
            <w:tcW w:type="dxa" w:w="531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Usuarios, recargas, métricas, filtros, auditoría y operación manual.</w:t>
            </w:r>
          </w:p>
        </w:tc>
      </w:tr>
      <w:tr>
        <w:trPr>
          <w:cantSplit/>
        </w:trPr>
        <w:tc>
          <w:tcPr>
            <w:tcW w:type="dxa" w:w="15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Datos</w:t>
            </w:r>
          </w:p>
        </w:tc>
        <w:tc>
          <w:tcPr>
            <w:tcW w:type="dxa" w:w="255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Google Apps Script + estado remoto</w:t>
            </w:r>
          </w:p>
        </w:tc>
        <w:tc>
          <w:tcPr>
            <w:tcW w:type="dxa" w:w="531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Persistencia y sincronización con caché local.</w:t>
            </w:r>
          </w:p>
        </w:tc>
      </w:tr>
      <w:tr>
        <w:trPr>
          <w:cantSplit/>
        </w:trPr>
        <w:tc>
          <w:tcPr>
            <w:tcW w:type="dxa" w:w="150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Pagos</w:t>
            </w:r>
          </w:p>
        </w:tc>
        <w:tc>
          <w:tcPr>
            <w:tcW w:type="dxa" w:w="255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Wompi</w:t>
            </w:r>
          </w:p>
        </w:tc>
        <w:tc>
          <w:tcPr>
            <w:tcW w:type="dxa" w:w="531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Creación y confirmación de recargas, sujeta a configuración del backend.</w:t>
            </w:r>
          </w:p>
        </w:tc>
      </w:tr>
      <w:tr>
        <w:trPr>
          <w:cantSplit/>
        </w:trPr>
        <w:tc>
          <w:tcPr>
            <w:tcW w:type="dxa" w:w="15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Hosting</w:t>
            </w:r>
          </w:p>
        </w:tc>
        <w:tc>
          <w:tcPr>
            <w:tcW w:type="dxa" w:w="255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GitHub + Hostinger</w:t>
            </w:r>
          </w:p>
        </w:tc>
        <w:tc>
          <w:tcPr>
            <w:tcW w:type="dxa" w:w="531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Publicación de la aplicación web.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Límites que deben comunicarse</w:t>
      </w:r>
    </w:p>
    <w:p>
      <w:pPr>
        <w:pStyle w:val="ListBullet"/>
        <w:spacing w:after="40" w:line="290" w:lineRule="auto"/>
      </w:pPr>
      <w:r>
        <w:rPr>
          <w:rFonts w:ascii="Calibri" w:hAnsi="Calibri"/>
          <w:color w:val="17191D"/>
          <w:sz w:val="19"/>
        </w:rPr>
        <w:t>La apertura física de la talanquera está planteada, pero no existe evidencia local de integración productiva con relay, PLC o gateway industrial.</w:t>
      </w:r>
    </w:p>
    <w:p>
      <w:pPr>
        <w:pStyle w:val="ListBullet"/>
        <w:spacing w:after="40" w:line="290" w:lineRule="auto"/>
      </w:pPr>
      <w:r>
        <w:rPr>
          <w:rFonts w:ascii="Calibri" w:hAnsi="Calibri"/>
          <w:color w:val="17191D"/>
          <w:sz w:val="19"/>
        </w:rPr>
        <w:t>El software actual es una aplicación web centralizada; no se confirmó aún una arquitectura multiempresa/multisede con aislamiento por operador.</w:t>
      </w:r>
    </w:p>
    <w:p>
      <w:pPr>
        <w:pStyle w:val="ListBullet"/>
        <w:spacing w:after="40" w:line="290" w:lineRule="auto"/>
      </w:pPr>
      <w:r>
        <w:rPr>
          <w:rFonts w:ascii="Calibri" w:hAnsi="Calibri"/>
          <w:color w:val="17191D"/>
          <w:sz w:val="19"/>
        </w:rPr>
        <w:t>No se encontraron costos de fabricación, obra, hidráulica, electricidad, químicos, mantenimiento, garantía ni logística.</w:t>
      </w:r>
    </w:p>
    <w:p>
      <w:pPr>
        <w:pStyle w:val="ListBullet"/>
        <w:spacing w:after="40" w:line="290" w:lineRule="auto"/>
      </w:pPr>
      <w:r>
        <w:rPr>
          <w:rFonts w:ascii="Calibri" w:hAnsi="Calibri"/>
          <w:color w:val="17191D"/>
          <w:sz w:val="19"/>
        </w:rPr>
        <w:t>El sitio menciona Cedritos, Bogotá, pero el negocio también se presenta como “próximamente”; la disponibilidad real del punto debe confirmarse.</w:t>
      </w:r>
    </w:p>
    <w:p>
      <w:pPr>
        <w:pStyle w:val="ListBullet"/>
        <w:spacing w:after="40" w:line="290" w:lineRule="auto"/>
      </w:pPr>
      <w:r>
        <w:rPr>
          <w:rFonts w:ascii="Calibri" w:hAnsi="Calibri"/>
          <w:color w:val="17191D"/>
          <w:sz w:val="19"/>
        </w:rPr>
        <w:t>Las credenciales, seguridad, protección de datos, facturación electrónica y continuidad operativa requieren revisión antes de escalar.</w:t>
      </w: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02</w:t>
      </w:r>
    </w:p>
    <w:p>
      <w:pPr>
        <w:pStyle w:val="Heading1"/>
        <w:keepNext/>
      </w:pPr>
      <w:r>
        <w:t>Qué vende Novawash</w:t>
      </w:r>
    </w:p>
    <w:p>
      <w:pPr>
        <w:spacing w:before="0" w:after="240" w:line="320" w:lineRule="auto"/>
      </w:pPr>
      <w:r>
        <w:rPr>
          <w:rFonts w:ascii="Calibri" w:hAnsi="Calibri"/>
          <w:b w:val="0"/>
          <w:i w:val="0"/>
          <w:color w:val="626A75"/>
          <w:sz w:val="23"/>
        </w:rPr>
        <w:t>Una red habilitada por tecnología, instalación y suministro; no solamente una máquina.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6A1A"/>
          <w:left w:val="single" w:sz="8" w:space="0" w:color="FF6A1A"/>
          <w:bottom w:val="single" w:sz="8" w:space="0" w:color="FF6A1A"/>
          <w:right w:val="single" w:sz="8" w:space="0" w:color="FF6A1A"/>
          <w:insideH w:val="single" w:sz="8" w:space="0" w:color="FF6A1A"/>
          <w:insideV w:val="single" w:sz="8" w:space="0" w:color="FF6A1A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0E7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6A1A"/>
                <w:sz w:val="22"/>
              </w:rPr>
              <w:t>Propuesta de valor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191D"/>
                <w:sz w:val="21"/>
              </w:rPr>
              <w:t>Novawash diseña, suministra, instala y habilita modelos de lavado vehicular automatizado para que terceros inviertan y operen sedes bajo estándares definidos, con ingresos recurrentes para Novawash por software, soporte, mantenimiento, insumos y expansión.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Cuatro motores de valor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Motor</w:t>
            </w:r>
          </w:p>
        </w:tc>
        <w:tc>
          <w:tcPr>
            <w:tcW w:type="dxa" w:w="42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Qué entrega Novawash</w:t>
            </w:r>
          </w:p>
        </w:tc>
        <w:tc>
          <w:tcPr>
            <w:tcW w:type="dxa" w:w="34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Cómo genera ingresos Novawash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Proyectos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Diagnóstico, ingeniería, equipos, montaje, puesta en marcha.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Diseño, suministro, instalación y margen de proyecto.</w:t>
            </w:r>
          </w:p>
        </w:tc>
      </w:tr>
      <w:tr>
        <w:trPr>
          <w:cantSplit/>
        </w:trPr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NovaWash OS</w:t>
            </w:r>
          </w:p>
        </w:tc>
        <w:tc>
          <w:tcPr>
            <w:tcW w:type="dxa" w:w="42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Clientes, QR, planes, pagos, operación, reportes y soporte.</w:t>
            </w:r>
          </w:p>
        </w:tc>
        <w:tc>
          <w:tcPr>
            <w:tcW w:type="dxa" w:w="34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Activación, mensualidad, soporte y posibles módulos.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Marca y método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Identidad, manuales, capacitación, experiencia y estándares.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Licencia inicial, renovación y fondos aprobados.</w:t>
            </w:r>
          </w:p>
        </w:tc>
      </w:tr>
      <w:tr>
        <w:trPr>
          <w:cantSplit/>
        </w:trPr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Supply &amp; Care</w:t>
            </w:r>
          </w:p>
        </w:tc>
        <w:tc>
          <w:tcPr>
            <w:tcW w:type="dxa" w:w="42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Químicos, repuestos, mantenimiento preventivo y correctivo.</w:t>
            </w:r>
          </w:p>
        </w:tc>
        <w:tc>
          <w:tcPr>
            <w:tcW w:type="dxa" w:w="34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Margen recurrente de suministros y servicios.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Qué aporta cada parte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Novawash aporta</w:t>
            </w:r>
          </w:p>
        </w:tc>
        <w:tc>
          <w:tcPr>
            <w:tcW w:type="dxa" w:w="468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El inversionista u operador aporta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Marca y lineamientos de experiencia.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Capital de inversión y capital de trabajo.</w:t>
            </w:r>
          </w:p>
        </w:tc>
      </w:tr>
      <w:tr>
        <w:trPr>
          <w:cantSplit/>
        </w:trPr>
        <w:tc>
          <w:tcPr>
            <w:tcW w:type="dxa" w:w="468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Software, configuración y capacitación.</w:t>
            </w:r>
          </w:p>
        </w:tc>
        <w:tc>
          <w:tcPr>
            <w:tcW w:type="dxa" w:w="468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Local, contrato de arrendamiento o propiedad.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Ingeniería de maquinaria y lavado a presión.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Permisos, servicios públicos y adecuaciones a su cargo.</w:t>
            </w:r>
          </w:p>
        </w:tc>
      </w:tr>
      <w:tr>
        <w:trPr>
          <w:cantSplit/>
        </w:trPr>
        <w:tc>
          <w:tcPr>
            <w:tcW w:type="dxa" w:w="468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Equipos y montaje según alcance contratado.</w:t>
            </w:r>
          </w:p>
        </w:tc>
        <w:tc>
          <w:tcPr>
            <w:tcW w:type="dxa" w:w="468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Equipo humano y operación diaria, salvo acuerdo distinto.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Proveedores, insumos y mantenimiento contratados.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Cumplimiento local, seguridad y calidad operacional.</w:t>
            </w:r>
          </w:p>
        </w:tc>
      </w:tr>
      <w:tr>
        <w:trPr>
          <w:cantSplit/>
        </w:trPr>
        <w:tc>
          <w:tcPr>
            <w:tcW w:type="dxa" w:w="468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Soporte de apertura y seguimiento.</w:t>
            </w:r>
          </w:p>
        </w:tc>
        <w:tc>
          <w:tcPr>
            <w:tcW w:type="dxa" w:w="468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Información veraz de la ubicación y resultados operativos.</w:t>
            </w:r>
          </w:p>
        </w:tc>
      </w:tr>
    </w:tbl>
    <w:p>
      <w:pPr>
        <w:spacing w:before="0" w:after="60" w:line="320" w:lineRule="auto"/>
      </w:pP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03</w:t>
      </w:r>
    </w:p>
    <w:p>
      <w:pPr>
        <w:pStyle w:val="Heading1"/>
        <w:keepNext/>
      </w:pPr>
      <w:r>
        <w:t>Comparación de modelos</w:t>
      </w:r>
    </w:p>
    <w:p>
      <w:pPr>
        <w:spacing w:before="0" w:after="240" w:line="320" w:lineRule="auto"/>
      </w:pPr>
      <w:r>
        <w:rPr>
          <w:rFonts w:ascii="Calibri" w:hAnsi="Calibri"/>
          <w:b w:val="0"/>
          <w:i w:val="0"/>
          <w:color w:val="626A75"/>
          <w:sz w:val="23"/>
        </w:rPr>
        <w:t>La elección depende de si la persona quiere operar una sede, transformar un lavadero existente o invertir sin asumir la operación diaria.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2487"/>
        <w:gridCol w:w="2487"/>
        <w:gridCol w:w="2486"/>
      </w:tblGrid>
      <w:tr>
        <w:trPr>
          <w:tblHeader w:val="true"/>
        </w:trPr>
        <w:tc>
          <w:tcPr>
            <w:tcW w:type="dxa" w:w="1900"/>
            <w:shd w:fill="FF6A1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487"/>
            <w:shd w:fill="FF6A1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A. Desde cero / llave en mano</w:t>
            </w:r>
          </w:p>
        </w:tc>
        <w:tc>
          <w:tcPr>
            <w:tcW w:type="dxa" w:w="2487"/>
            <w:shd w:fill="FF6A1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B. Conversión completa</w:t>
            </w:r>
          </w:p>
        </w:tc>
        <w:tc>
          <w:tcPr>
            <w:tcW w:type="dxa" w:w="2486"/>
            <w:shd w:fill="FF6A1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C. Socio inversionista de red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Marca al público</w:t>
            </w:r>
          </w:p>
        </w:tc>
        <w:tc>
          <w:tcPr>
            <w:tcW w:type="dxa" w:w="24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Novawash</w:t>
            </w:r>
          </w:p>
        </w:tc>
        <w:tc>
          <w:tcPr>
            <w:tcW w:type="dxa" w:w="24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Novawash</w:t>
            </w:r>
          </w:p>
        </w:tc>
        <w:tc>
          <w:tcPr>
            <w:tcW w:type="dxa" w:w="24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Red de sedes propias Novawash</w:t>
            </w:r>
          </w:p>
        </w:tc>
      </w:tr>
      <w:tr>
        <w:trPr>
          <w:cantSplit/>
        </w:trPr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Rol del interesado</w:t>
            </w:r>
          </w:p>
        </w:tc>
        <w:tc>
          <w:tcPr>
            <w:tcW w:type="dxa" w:w="2487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Dueño y operador de su sede</w:t>
            </w:r>
          </w:p>
        </w:tc>
        <w:tc>
          <w:tcPr>
            <w:tcW w:type="dxa" w:w="2487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Dueño y operador de la sede convertida</w:t>
            </w:r>
          </w:p>
        </w:tc>
        <w:tc>
          <w:tcPr>
            <w:tcW w:type="dxa" w:w="248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Aporta capital; no opera el punto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Local existente</w:t>
            </w:r>
          </w:p>
        </w:tc>
        <w:tc>
          <w:tcPr>
            <w:tcW w:type="dxa" w:w="24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No necesariamente</w:t>
            </w:r>
          </w:p>
        </w:tc>
        <w:tc>
          <w:tcPr>
            <w:tcW w:type="dxa" w:w="24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Sí, obligatorio</w:t>
            </w:r>
          </w:p>
        </w:tc>
        <w:tc>
          <w:tcPr>
            <w:tcW w:type="dxa" w:w="24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Maquinaria y obra</w:t>
            </w:r>
          </w:p>
        </w:tc>
        <w:tc>
          <w:tcPr>
            <w:tcW w:type="dxa" w:w="2487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Sistema nuevo e integral</w:t>
            </w:r>
          </w:p>
        </w:tc>
        <w:tc>
          <w:tcPr>
            <w:tcW w:type="dxa" w:w="2487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Se audita, reutiliza y complementa</w:t>
            </w:r>
          </w:p>
        </w:tc>
        <w:tc>
          <w:tcPr>
            <w:tcW w:type="dxa" w:w="248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Incluidas dentro del proyecto de red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Know-how y software</w:t>
            </w:r>
          </w:p>
        </w:tc>
        <w:tc>
          <w:tcPr>
            <w:tcW w:type="dxa" w:w="24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Completos</w:t>
            </w:r>
          </w:p>
        </w:tc>
        <w:tc>
          <w:tcPr>
            <w:tcW w:type="dxa" w:w="24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Completos</w:t>
            </w:r>
          </w:p>
        </w:tc>
        <w:tc>
          <w:tcPr>
            <w:tcW w:type="dxa" w:w="24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Gestionados por Novawash</w:t>
            </w:r>
          </w:p>
        </w:tc>
      </w:tr>
      <w:tr>
        <w:trPr>
          <w:cantSplit/>
        </w:trPr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Marca y red de suministros</w:t>
            </w:r>
          </w:p>
        </w:tc>
        <w:tc>
          <w:tcPr>
            <w:tcW w:type="dxa" w:w="2487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Acceso completo</w:t>
            </w:r>
          </w:p>
        </w:tc>
        <w:tc>
          <w:tcPr>
            <w:tcW w:type="dxa" w:w="2487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Acceso completo</w:t>
            </w:r>
          </w:p>
        </w:tc>
        <w:tc>
          <w:tcPr>
            <w:tcW w:type="dxa" w:w="248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Participación económica en la red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Inversión relativa</w:t>
            </w:r>
          </w:p>
        </w:tc>
        <w:tc>
          <w:tcPr>
            <w:tcW w:type="dxa" w:w="24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Alta</w:t>
            </w:r>
          </w:p>
        </w:tc>
        <w:tc>
          <w:tcPr>
            <w:tcW w:type="dxa" w:w="24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Media</w:t>
            </w:r>
          </w:p>
        </w:tc>
        <w:tc>
          <w:tcPr>
            <w:tcW w:type="dxa" w:w="24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Pequeña o fraccionada</w:t>
            </w:r>
          </w:p>
        </w:tc>
      </w:tr>
      <w:tr>
        <w:trPr>
          <w:cantSplit/>
        </w:trPr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Trabajo operativo</w:t>
            </w:r>
          </w:p>
        </w:tc>
        <w:tc>
          <w:tcPr>
            <w:tcW w:type="dxa" w:w="2487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Alto</w:t>
            </w:r>
          </w:p>
        </w:tc>
        <w:tc>
          <w:tcPr>
            <w:tcW w:type="dxa" w:w="2487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Medio/alto</w:t>
            </w:r>
          </w:p>
        </w:tc>
        <w:tc>
          <w:tcPr>
            <w:tcW w:type="dxa" w:w="248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Ninguno en la operación diaria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Potencial de utilidad</w:t>
            </w:r>
          </w:p>
        </w:tc>
        <w:tc>
          <w:tcPr>
            <w:tcW w:type="dxa" w:w="24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Mayor: conserva la utilidad de su sede</w:t>
            </w:r>
          </w:p>
        </w:tc>
        <w:tc>
          <w:tcPr>
            <w:tcW w:type="dxa" w:w="24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Mayor: aprovecha activos existentes</w:t>
            </w:r>
          </w:p>
        </w:tc>
        <w:tc>
          <w:tcPr>
            <w:tcW w:type="dxa" w:w="24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Menor: recibe distribución según participación</w:t>
            </w:r>
          </w:p>
        </w:tc>
      </w:tr>
      <w:tr>
        <w:trPr>
          <w:cantSplit/>
        </w:trPr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Riesgo principal</w:t>
            </w:r>
          </w:p>
        </w:tc>
        <w:tc>
          <w:tcPr>
            <w:tcW w:type="dxa" w:w="2487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Ubicación, demanda y ejecución</w:t>
            </w:r>
          </w:p>
        </w:tc>
        <w:tc>
          <w:tcPr>
            <w:tcW w:type="dxa" w:w="2487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Calidad de activos y reconversión</w:t>
            </w:r>
          </w:p>
        </w:tc>
        <w:tc>
          <w:tcPr>
            <w:tcW w:type="dxa" w:w="248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Riesgo empresarial, iliquidez y desempeño de la red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Mejor para</w:t>
            </w:r>
          </w:p>
        </w:tc>
        <w:tc>
          <w:tcPr>
            <w:tcW w:type="dxa" w:w="24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Emprendedor que quiere operar</w:t>
            </w:r>
          </w:p>
        </w:tc>
        <w:tc>
          <w:tcPr>
            <w:tcW w:type="dxa" w:w="24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Lavadero que quiere modernizarse</w:t>
            </w:r>
          </w:p>
        </w:tc>
        <w:tc>
          <w:tcPr>
            <w:tcW w:type="dxa" w:w="24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Inversionista que busca exposición sin operar</w:t>
            </w:r>
          </w:p>
        </w:tc>
      </w:tr>
    </w:tbl>
    <w:p>
      <w:pPr>
        <w:spacing w:before="0" w:after="60" w:line="32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0242C"/>
          <w:left w:val="single" w:sz="8" w:space="0" w:color="20242C"/>
          <w:bottom w:val="single" w:sz="8" w:space="0" w:color="20242C"/>
          <w:right w:val="single" w:sz="8" w:space="0" w:color="20242C"/>
          <w:insideH w:val="single" w:sz="8" w:space="0" w:color="20242C"/>
          <w:insideV w:val="single" w:sz="8" w:space="0" w:color="20242C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20242C"/>
                <w:sz w:val="22"/>
              </w:rPr>
              <w:t>No se cotiza solo con esta tabla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191D"/>
                <w:sz w:val="21"/>
              </w:rPr>
              <w:t>Todos los modelos requieren diagnóstico técnico y validación de ubicación. Una cotización sin caudal, energía, drenaje, área, normatividad, accesos y equipos existentes sería preliminar.</w:t>
            </w:r>
          </w:p>
        </w:tc>
      </w:tr>
    </w:tbl>
    <w:p>
      <w:pPr>
        <w:spacing w:before="0" w:after="60" w:line="320" w:lineRule="auto"/>
      </w:pP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03B</w:t>
      </w:r>
    </w:p>
    <w:p>
      <w:pPr>
        <w:pStyle w:val="Heading1"/>
        <w:keepNext/>
      </w:pPr>
      <w:r>
        <w:t>Inversión inicial recomendada y utilidad Novawash</w:t>
      </w:r>
    </w:p>
    <w:p>
      <w:pPr>
        <w:spacing w:before="0" w:after="240" w:line="320" w:lineRule="auto"/>
      </w:pPr>
      <w:r>
        <w:rPr>
          <w:rFonts w:ascii="Calibri" w:hAnsi="Calibri"/>
          <w:b w:val="0"/>
          <w:i w:val="0"/>
          <w:color w:val="626A75"/>
          <w:sz w:val="23"/>
        </w:rPr>
        <w:t>Estimación comercial de trabajo para iniciar conversaciones; no es una cotización definitiva.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D5FD1"/>
          <w:left w:val="single" w:sz="8" w:space="0" w:color="1D5FD1"/>
          <w:bottom w:val="single" w:sz="8" w:space="0" w:color="1D5FD1"/>
          <w:right w:val="single" w:sz="8" w:space="0" w:color="1D5FD1"/>
          <w:insideH w:val="single" w:sz="8" w:space="0" w:color="1D5FD1"/>
          <w:insideV w:val="single" w:sz="8" w:space="0" w:color="1D5FD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FF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D5FD1"/>
                <w:sz w:val="22"/>
              </w:rPr>
              <w:t>Rangos preliminares — julio de 2026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191D"/>
                <w:sz w:val="21"/>
              </w:rPr>
              <w:t>Los valores están expresados en pesos colombianos y parten de una sede en inmueble arrendado o disponible. Excluyen compra del predio, impuestos, financiación, licencias especiales, acometidas extraordinarias y obras no visibles. La ingeniería y las cotizaciones de proveedores reemplazarán estos rangos.</w:t>
            </w:r>
          </w:p>
        </w:tc>
      </w:tr>
    </w:tbl>
    <w:p>
      <w:pPr>
        <w:spacing w:before="0" w:after="60" w:line="32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800"/>
        <w:gridCol w:w="1940"/>
        <w:gridCol w:w="2100"/>
        <w:gridCol w:w="2540"/>
        <w:gridCol w:w="980"/>
      </w:tblGrid>
      <w:tr>
        <w:trPr>
          <w:tblHeader w:val="true"/>
        </w:trPr>
        <w:tc>
          <w:tcPr>
            <w:tcW w:type="dxa" w:w="18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Modelo</w:t>
            </w:r>
          </w:p>
        </w:tc>
        <w:tc>
          <w:tcPr>
            <w:tcW w:type="dxa" w:w="194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Costo directo estimado</w:t>
            </w:r>
          </w:p>
        </w:tc>
        <w:tc>
          <w:tcPr>
            <w:tcW w:type="dxa" w:w="21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Precio / capital objetivo</w:t>
            </w:r>
          </w:p>
        </w:tc>
        <w:tc>
          <w:tcPr>
            <w:tcW w:type="dxa" w:w="254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Utilidad bruta Novawash</w:t>
            </w:r>
          </w:p>
        </w:tc>
        <w:tc>
          <w:tcPr>
            <w:tcW w:type="dxa" w:w="98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Margen bruto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A — Sede desde cero</w:t>
            </w:r>
          </w:p>
        </w:tc>
        <w:tc>
          <w:tcPr>
            <w:tcW w:type="dxa" w:w="19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$320–430 M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$560–760 M</w:t>
            </w:r>
          </w:p>
        </w:tc>
        <w:tc>
          <w:tcPr>
            <w:tcW w:type="dxa" w:w="25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$240–330 M</w:t>
            </w:r>
          </w:p>
        </w:tc>
        <w:tc>
          <w:tcPr>
            <w:tcW w:type="dxa" w:w="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40–45%</w:t>
            </w:r>
          </w:p>
        </w:tc>
      </w:tr>
      <w:tr>
        <w:trPr>
          <w:cantSplit/>
        </w:trPr>
        <w:tc>
          <w:tcPr>
            <w:tcW w:type="dxa" w:w="1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Referencia central A</w:t>
            </w:r>
          </w:p>
        </w:tc>
        <w:tc>
          <w:tcPr>
            <w:tcW w:type="dxa" w:w="194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$375 M</w:t>
            </w:r>
          </w:p>
        </w:tc>
        <w:tc>
          <w:tcPr>
            <w:tcW w:type="dxa" w:w="21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$650 M</w:t>
            </w:r>
          </w:p>
        </w:tc>
        <w:tc>
          <w:tcPr>
            <w:tcW w:type="dxa" w:w="254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$275 M</w:t>
            </w:r>
          </w:p>
        </w:tc>
        <w:tc>
          <w:tcPr>
            <w:tcW w:type="dxa" w:w="98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42,3%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B — Conversión completa</w:t>
            </w:r>
          </w:p>
        </w:tc>
        <w:tc>
          <w:tcPr>
            <w:tcW w:type="dxa" w:w="19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$170–260 M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$300–450 M</w:t>
            </w:r>
          </w:p>
        </w:tc>
        <w:tc>
          <w:tcPr>
            <w:tcW w:type="dxa" w:w="25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$130–190 M</w:t>
            </w:r>
          </w:p>
        </w:tc>
        <w:tc>
          <w:tcPr>
            <w:tcW w:type="dxa" w:w="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40–45%</w:t>
            </w:r>
          </w:p>
        </w:tc>
      </w:tr>
      <w:tr>
        <w:trPr>
          <w:cantSplit/>
        </w:trPr>
        <w:tc>
          <w:tcPr>
            <w:tcW w:type="dxa" w:w="1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Referencia central B</w:t>
            </w:r>
          </w:p>
        </w:tc>
        <w:tc>
          <w:tcPr>
            <w:tcW w:type="dxa" w:w="194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$215 M</w:t>
            </w:r>
          </w:p>
        </w:tc>
        <w:tc>
          <w:tcPr>
            <w:tcW w:type="dxa" w:w="21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$375 M</w:t>
            </w:r>
          </w:p>
        </w:tc>
        <w:tc>
          <w:tcPr>
            <w:tcW w:type="dxa" w:w="254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$160 M</w:t>
            </w:r>
          </w:p>
        </w:tc>
        <w:tc>
          <w:tcPr>
            <w:tcW w:type="dxa" w:w="98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42,7%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C — Sede de la red</w:t>
            </w:r>
          </w:p>
        </w:tc>
        <w:tc>
          <w:tcPr>
            <w:tcW w:type="dxa" w:w="19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Proyecto objetivo: $650 M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Capital externo: $450–550 M</w:t>
            </w:r>
          </w:p>
        </w:tc>
        <w:tc>
          <w:tcPr>
            <w:tcW w:type="dxa" w:w="25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Estructuración: $18–33 M + margen de implementación</w:t>
            </w:r>
          </w:p>
        </w:tc>
        <w:tc>
          <w:tcPr>
            <w:tcW w:type="dxa" w:w="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No comparable</w:t>
            </w:r>
          </w:p>
        </w:tc>
      </w:tr>
    </w:tbl>
    <w:p>
      <w:pPr>
        <w:spacing w:before="0" w:after="60" w:line="320" w:lineRule="auto"/>
      </w:pPr>
    </w:p>
    <w:p>
      <w:pPr>
        <w:spacing w:before="0" w:after="160" w:line="320" w:lineRule="auto"/>
      </w:pPr>
      <w:r>
        <w:rPr>
          <w:rFonts w:ascii="Calibri" w:hAnsi="Calibri"/>
          <w:b w:val="0"/>
          <w:i/>
          <w:color w:val="626A75"/>
          <w:sz w:val="18"/>
        </w:rPr>
        <w:t>Utilidad bruta = precio de venta menos costos directos del proyecto. No es utilidad neta: todavía debe cubrir administración, comercialización, garantías, impuestos, estructura corporativa y contingencias de Novawash.</w:t>
      </w:r>
    </w:p>
    <w:p>
      <w:pPr>
        <w:pStyle w:val="Heading2"/>
        <w:keepNext/>
      </w:pPr>
      <w:r>
        <w:t>Referencia central del costo directo — Modelo 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3100"/>
        <w:gridCol w:w="1350"/>
        <w:gridCol w:w="4910"/>
      </w:tblGrid>
      <w:tr>
        <w:trPr>
          <w:tblHeader w:val="true"/>
        </w:trPr>
        <w:tc>
          <w:tcPr>
            <w:tcW w:type="dxa" w:w="3100"/>
            <w:shd w:fill="20242C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Grupo de inversión</w:t>
            </w:r>
          </w:p>
        </w:tc>
        <w:tc>
          <w:tcPr>
            <w:tcW w:type="dxa" w:w="1350"/>
            <w:shd w:fill="20242C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Estimación</w:t>
            </w:r>
          </w:p>
        </w:tc>
        <w:tc>
          <w:tcPr>
            <w:tcW w:type="dxa" w:w="4910"/>
            <w:shd w:fill="20242C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Qué cubre comercialmente</w:t>
            </w:r>
          </w:p>
        </w:tc>
      </w:tr>
      <w:tr>
        <w:trPr>
          <w:cantSplit/>
        </w:trPr>
        <w:tc>
          <w:tcPr>
            <w:tcW w:type="dxa" w:w="31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Ingeniería y prefactibilidad</w:t>
            </w:r>
          </w:p>
        </w:tc>
        <w:tc>
          <w:tcPr>
            <w:tcW w:type="dxa" w:w="135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$20 M</w:t>
            </w:r>
          </w:p>
        </w:tc>
        <w:tc>
          <w:tcPr>
            <w:tcW w:type="dxa" w:w="491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Visita, diseño, coordinación y documentación técnica.</w:t>
            </w:r>
          </w:p>
        </w:tc>
      </w:tr>
      <w:tr>
        <w:trPr>
          <w:cantSplit/>
        </w:trPr>
        <w:tc>
          <w:tcPr>
            <w:tcW w:type="dxa" w:w="310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Maquinaria y equipos principales</w:t>
            </w:r>
          </w:p>
        </w:tc>
        <w:tc>
          <w:tcPr>
            <w:tcW w:type="dxa" w:w="135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$90 M</w:t>
            </w:r>
          </w:p>
        </w:tc>
        <w:tc>
          <w:tcPr>
            <w:tcW w:type="dxa" w:w="491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Lavado a presión, aspirado y equipos definidos por ingeniería.</w:t>
            </w:r>
          </w:p>
        </w:tc>
      </w:tr>
      <w:tr>
        <w:trPr>
          <w:cantSplit/>
        </w:trPr>
        <w:tc>
          <w:tcPr>
            <w:tcW w:type="dxa" w:w="31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Sistema hidráulico, tratamiento y reciclaje</w:t>
            </w:r>
          </w:p>
        </w:tc>
        <w:tc>
          <w:tcPr>
            <w:tcW w:type="dxa" w:w="135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$55 M</w:t>
            </w:r>
          </w:p>
        </w:tc>
        <w:tc>
          <w:tcPr>
            <w:tcW w:type="dxa" w:w="491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Almacenamiento, bombeo, redes y tratamiento según el predio.</w:t>
            </w:r>
          </w:p>
        </w:tc>
      </w:tr>
      <w:tr>
        <w:trPr>
          <w:cantSplit/>
        </w:trPr>
        <w:tc>
          <w:tcPr>
            <w:tcW w:type="dxa" w:w="310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Obra civil, eléctrica y adecuaciones</w:t>
            </w:r>
          </w:p>
        </w:tc>
        <w:tc>
          <w:tcPr>
            <w:tcW w:type="dxa" w:w="135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$95 M</w:t>
            </w:r>
          </w:p>
        </w:tc>
        <w:tc>
          <w:tcPr>
            <w:tcW w:type="dxa" w:w="491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Pisos, drenajes, cubierta, instalaciones y circulación.</w:t>
            </w:r>
          </w:p>
        </w:tc>
      </w:tr>
      <w:tr>
        <w:trPr>
          <w:cantSplit/>
        </w:trPr>
        <w:tc>
          <w:tcPr>
            <w:tcW w:type="dxa" w:w="31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Automatización, talanquera y software</w:t>
            </w:r>
          </w:p>
        </w:tc>
        <w:tc>
          <w:tcPr>
            <w:tcW w:type="dxa" w:w="135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$30 M</w:t>
            </w:r>
          </w:p>
        </w:tc>
        <w:tc>
          <w:tcPr>
            <w:tcW w:type="dxa" w:w="491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Control de acceso, hardware, configuración e integración.</w:t>
            </w:r>
          </w:p>
        </w:tc>
      </w:tr>
      <w:tr>
        <w:trPr>
          <w:cantSplit/>
        </w:trPr>
        <w:tc>
          <w:tcPr>
            <w:tcW w:type="dxa" w:w="310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Marca, experiencia, cafetería y tienda</w:t>
            </w:r>
          </w:p>
        </w:tc>
        <w:tc>
          <w:tcPr>
            <w:tcW w:type="dxa" w:w="135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$30 M</w:t>
            </w:r>
          </w:p>
        </w:tc>
        <w:tc>
          <w:tcPr>
            <w:tcW w:type="dxa" w:w="491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Imagen, mobiliario, exhibición y adecuación comercial.</w:t>
            </w:r>
          </w:p>
        </w:tc>
      </w:tr>
      <w:tr>
        <w:trPr>
          <w:cantSplit/>
        </w:trPr>
        <w:tc>
          <w:tcPr>
            <w:tcW w:type="dxa" w:w="31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Montaje, apertura, inventario y contingencia</w:t>
            </w:r>
          </w:p>
        </w:tc>
        <w:tc>
          <w:tcPr>
            <w:tcW w:type="dxa" w:w="135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$55 M</w:t>
            </w:r>
          </w:p>
        </w:tc>
        <w:tc>
          <w:tcPr>
            <w:tcW w:type="dxa" w:w="491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Instalación, capacitación, insumos iniciales y reserva técnica.</w:t>
            </w:r>
          </w:p>
        </w:tc>
      </w:tr>
      <w:tr>
        <w:trPr>
          <w:cantSplit/>
        </w:trPr>
        <w:tc>
          <w:tcPr>
            <w:tcW w:type="dxa" w:w="310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TOTAL DIRECTO DE REFERENCIA</w:t>
            </w:r>
          </w:p>
        </w:tc>
        <w:tc>
          <w:tcPr>
            <w:tcW w:type="dxa" w:w="135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$375 M</w:t>
            </w:r>
          </w:p>
        </w:tc>
        <w:tc>
          <w:tcPr>
            <w:tcW w:type="dxa" w:w="4910"/>
            <w:shd w:fill="F7F8FA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Base para una propuesta central de $650 M.</w:t>
            </w:r>
          </w:p>
        </w:tc>
      </w:tr>
    </w:tbl>
    <w:p>
      <w:pPr>
        <w:spacing w:before="0" w:after="60" w:line="320" w:lineRule="auto"/>
      </w:pP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04A</w:t>
      </w:r>
    </w:p>
    <w:p>
      <w:pPr>
        <w:pStyle w:val="Heading1"/>
        <w:keepNext/>
      </w:pPr>
      <w:r>
        <w:t>Modelo A — Sede Novawash completa / llave en mano</w:t>
      </w:r>
    </w:p>
    <w:p>
      <w:pPr>
        <w:spacing w:before="0" w:after="240" w:line="320" w:lineRule="auto"/>
      </w:pPr>
      <w:r>
        <w:rPr>
          <w:rFonts w:ascii="Calibri" w:hAnsi="Calibri"/>
          <w:b w:val="0"/>
          <w:i w:val="0"/>
          <w:color w:val="626A75"/>
          <w:sz w:val="23"/>
        </w:rPr>
        <w:t>La opción con mayor intervención de Novawash y mayor claridad para un inversionista que comienza desde cero.</w:t>
      </w:r>
    </w:p>
    <w:p>
      <w:pPr>
        <w:pStyle w:val="Heading2"/>
        <w:keepNext/>
      </w:pPr>
      <w:r>
        <w:t>Alcance propuesto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Prefactibilidad comercial y técnica del inmueble.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Layout, flujo vehicular, zonas de espera y señalización.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Ingeniería y suministro del sistema de lavado a presión.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Talanquera, lector QR, hardware local y puesta en marcha, cuando la ingeniería sea aprobada.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Configuración de software, planes, usuarios, pagos y backoffice.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Identidad visual, manual operativo, capacitación y acompañamiento de apertura.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Diseño comercial de cafetería/tienda, exhibición e inventario inicial definido.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Paquete inicial de químicos, repuestos críticos y mantenimiento.</w:t>
      </w:r>
    </w:p>
    <w:p>
      <w:pPr>
        <w:pStyle w:val="Heading2"/>
        <w:keepNext/>
      </w:pPr>
      <w:r>
        <w:t>Inversión inicial — estructura editable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3400"/>
        <w:gridCol w:w="2300"/>
        <w:gridCol w:w="1850"/>
        <w:gridCol w:w="1810"/>
      </w:tblGrid>
      <w:tr>
        <w:trPr>
          <w:tblHeader w:val="true"/>
        </w:trPr>
        <w:tc>
          <w:tcPr>
            <w:tcW w:type="dxa" w:w="34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Rubro</w:t>
            </w:r>
          </w:p>
        </w:tc>
        <w:tc>
          <w:tcPr>
            <w:tcW w:type="dxa" w:w="23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 de cotizar</w:t>
            </w:r>
          </w:p>
        </w:tc>
        <w:tc>
          <w:tcPr>
            <w:tcW w:type="dxa" w:w="185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Valor COP</w:t>
            </w:r>
          </w:p>
        </w:tc>
        <w:tc>
          <w:tcPr>
            <w:tcW w:type="dxa" w:w="181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Estudio de ubicación e ingeniería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Novawash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Incluido en referencia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Cerrar alcance</w:t>
            </w:r>
          </w:p>
        </w:tc>
      </w:tr>
      <w:tr>
        <w:trPr>
          <w:cantSplit/>
        </w:trPr>
        <w:tc>
          <w:tcPr>
            <w:tcW w:type="dxa" w:w="34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Licencia inicial de marca y know-how</w:t>
            </w:r>
          </w:p>
        </w:tc>
        <w:tc>
          <w:tcPr>
            <w:tcW w:type="dxa" w:w="23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Novawash</w:t>
            </w:r>
          </w:p>
        </w:tc>
        <w:tc>
          <w:tcPr>
            <w:tcW w:type="dxa" w:w="18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Incluida en propuesta</w:t>
            </w:r>
          </w:p>
        </w:tc>
        <w:tc>
          <w:tcPr>
            <w:tcW w:type="dxa" w:w="18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Cerrar política</w:t>
            </w:r>
          </w:p>
        </w:tc>
      </w:tr>
      <w:tr>
        <w:trPr>
          <w:cantSplit/>
        </w:trP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Maquinaria y sistema a presión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Novawash / ingeniero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Incluido según BOM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Cotización final</w:t>
            </w:r>
          </w:p>
        </w:tc>
      </w:tr>
      <w:tr>
        <w:trPr>
          <w:cantSplit/>
        </w:trPr>
        <w:tc>
          <w:tcPr>
            <w:tcW w:type="dxa" w:w="34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Talanquera, lector, gateway y seguridad</w:t>
            </w:r>
          </w:p>
        </w:tc>
        <w:tc>
          <w:tcPr>
            <w:tcW w:type="dxa" w:w="23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Novawash</w:t>
            </w:r>
          </w:p>
        </w:tc>
        <w:tc>
          <w:tcPr>
            <w:tcW w:type="dxa" w:w="18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Incluido según diseño</w:t>
            </w:r>
          </w:p>
        </w:tc>
        <w:tc>
          <w:tcPr>
            <w:tcW w:type="dxa" w:w="18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Cotización final</w:t>
            </w:r>
          </w:p>
        </w:tc>
      </w:tr>
      <w:tr>
        <w:trPr>
          <w:cantSplit/>
        </w:trP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Obra civil, drenajes, pisos y cubierta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Contratista aprobado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Incluida dentro del alcance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Depende del local</w:t>
            </w:r>
          </w:p>
        </w:tc>
      </w:tr>
      <w:tr>
        <w:trPr>
          <w:cantSplit/>
        </w:trPr>
        <w:tc>
          <w:tcPr>
            <w:tcW w:type="dxa" w:w="34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Electricidad, hidráulica y tratamiento</w:t>
            </w:r>
          </w:p>
        </w:tc>
        <w:tc>
          <w:tcPr>
            <w:tcW w:type="dxa" w:w="23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Contratista aprobado</w:t>
            </w:r>
          </w:p>
        </w:tc>
        <w:tc>
          <w:tcPr>
            <w:tcW w:type="dxa" w:w="18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Incluida dentro del alcance</w:t>
            </w:r>
          </w:p>
        </w:tc>
        <w:tc>
          <w:tcPr>
            <w:tcW w:type="dxa" w:w="18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Depende del local</w:t>
            </w:r>
          </w:p>
        </w:tc>
      </w:tr>
      <w:tr>
        <w:trPr>
          <w:cantSplit/>
        </w:trP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Software, configuración y capacitación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Novawash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Incluido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Definir módulos</w:t>
            </w:r>
          </w:p>
        </w:tc>
      </w:tr>
      <w:tr>
        <w:trPr>
          <w:cantSplit/>
        </w:trPr>
        <w:tc>
          <w:tcPr>
            <w:tcW w:type="dxa" w:w="34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Señalización, cafetería, tienda y marca</w:t>
            </w:r>
          </w:p>
        </w:tc>
        <w:tc>
          <w:tcPr>
            <w:tcW w:type="dxa" w:w="23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Novawash / proveedor</w:t>
            </w:r>
          </w:p>
        </w:tc>
        <w:tc>
          <w:tcPr>
            <w:tcW w:type="dxa" w:w="18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Incluido formato base</w:t>
            </w:r>
          </w:p>
        </w:tc>
        <w:tc>
          <w:tcPr>
            <w:tcW w:type="dxa" w:w="18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Definir área</w:t>
            </w:r>
          </w:p>
        </w:tc>
      </w:tr>
      <w:tr>
        <w:trPr>
          <w:cantSplit/>
        </w:trP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Químicos, café, accesorios y repuestos iniciales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Novawash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Incluido inventario base</w:t>
            </w:r>
          </w:p>
        </w:tc>
        <w:tc>
          <w:tcPr>
            <w:tcW w:type="dxa" w:w="1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Definir surtido</w:t>
            </w:r>
          </w:p>
        </w:tc>
      </w:tr>
      <w:tr>
        <w:trPr>
          <w:cantSplit/>
        </w:trPr>
        <w:tc>
          <w:tcPr>
            <w:tcW w:type="dxa" w:w="34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Capital de trabajo y contingencia</w:t>
            </w:r>
          </w:p>
        </w:tc>
        <w:tc>
          <w:tcPr>
            <w:tcW w:type="dxa" w:w="23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Inversionista</w:t>
            </w:r>
          </w:p>
        </w:tc>
        <w:tc>
          <w:tcPr>
            <w:tcW w:type="dxa" w:w="18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Recomendado por separado</w:t>
            </w:r>
          </w:p>
        </w:tc>
        <w:tc>
          <w:tcPr>
            <w:tcW w:type="dxa" w:w="18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Según operación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Cargos recurrentes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850"/>
        <w:gridCol w:w="1600"/>
        <w:gridCol w:w="3010"/>
        <w:gridCol w:w="1900"/>
      </w:tblGrid>
      <w:tr>
        <w:trPr>
          <w:tblHeader w:val="true"/>
        </w:trPr>
        <w:tc>
          <w:tcPr>
            <w:tcW w:type="dxa" w:w="285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16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Periodicidad</w:t>
            </w:r>
          </w:p>
        </w:tc>
        <w:tc>
          <w:tcPr>
            <w:tcW w:type="dxa" w:w="301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Base sugerida</w:t>
            </w:r>
          </w:p>
        </w:tc>
        <w:tc>
          <w:tcPr>
            <w:tcW w:type="dxa" w:w="19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Software Novawash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Mensual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Por sede + módulos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[POR DEFINIR]</w:t>
            </w:r>
          </w:p>
        </w:tc>
      </w:tr>
      <w:tr>
        <w:trPr>
          <w:cantSplit/>
        </w:trPr>
        <w:tc>
          <w:tcPr>
            <w:tcW w:type="dxa" w:w="28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Soporte</w:t>
            </w:r>
          </w:p>
        </w:tc>
        <w:tc>
          <w:tcPr>
            <w:tcW w:type="dxa" w:w="1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Mensual/anual</w:t>
            </w:r>
          </w:p>
        </w:tc>
        <w:tc>
          <w:tcPr>
            <w:tcW w:type="dxa" w:w="30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Nivel de servicio</w:t>
            </w:r>
          </w:p>
        </w:tc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[POR DEFINIR]</w:t>
            </w:r>
          </w:p>
        </w:tc>
      </w:tr>
      <w:tr>
        <w:trPr>
          <w:cantSplit/>
        </w:trPr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Licencia de marca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Mensual/anual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Fija o % de ventas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[POR DEFINIR]</w:t>
            </w:r>
          </w:p>
        </w:tc>
      </w:tr>
      <w:tr>
        <w:trPr>
          <w:cantSplit/>
        </w:trPr>
        <w:tc>
          <w:tcPr>
            <w:tcW w:type="dxa" w:w="28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Mantenimiento</w:t>
            </w:r>
          </w:p>
        </w:tc>
        <w:tc>
          <w:tcPr>
            <w:tcW w:type="dxa" w:w="1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Mensual/trimestral</w:t>
            </w:r>
          </w:p>
        </w:tc>
        <w:tc>
          <w:tcPr>
            <w:tcW w:type="dxa" w:w="30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Preventivo + bolsa correctiva</w:t>
            </w:r>
          </w:p>
        </w:tc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[POR DEFINIR]</w:t>
            </w:r>
          </w:p>
        </w:tc>
      </w:tr>
      <w:tr>
        <w:trPr>
          <w:cantSplit/>
        </w:trPr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Químicos e insumos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Por consumo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Lista autorizada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[POR DEFINIR]</w:t>
            </w:r>
          </w:p>
        </w:tc>
      </w:tr>
      <w:tr>
        <w:trPr>
          <w:cantSplit/>
        </w:trPr>
        <w:tc>
          <w:tcPr>
            <w:tcW w:type="dxa" w:w="28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Procesamiento de pagos</w:t>
            </w:r>
          </w:p>
        </w:tc>
        <w:tc>
          <w:tcPr>
            <w:tcW w:type="dxa" w:w="1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Por transacción</w:t>
            </w:r>
          </w:p>
        </w:tc>
        <w:tc>
          <w:tcPr>
            <w:tcW w:type="dxa" w:w="30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Tarifa del adquirente</w:t>
            </w:r>
          </w:p>
        </w:tc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[POR DEFINIR]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Propiedad y responsabilidades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7191D"/>
          <w:sz w:val="21"/>
        </w:rPr>
        <w:t>Salvo que el contrato establezca leasing o comodato, el operador sería propietario de los activos físicos pagados; Novawash conservaría marca, software, diseños, documentación, configuraciones y know-how. Las mejoras del local seguirían el contrato de arrendamiento y la ley aplicable.</w:t>
      </w:r>
    </w:p>
    <w:p>
      <w:pPr>
        <w:pStyle w:val="Heading2"/>
        <w:keepNext/>
      </w:pPr>
      <w:r>
        <w:t>Tiempo objetivo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7191D"/>
          <w:sz w:val="21"/>
        </w:rPr>
        <w:t>[POR DEFINIR] semanas desde la aprobación de ingeniería, anticipo, permisos y disponibilidad de equipos. El cronograma no empieza con la firma comercial si faltan permisos o diseño técnico.</w:t>
      </w: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04B</w:t>
      </w:r>
    </w:p>
    <w:p>
      <w:pPr>
        <w:pStyle w:val="Heading1"/>
        <w:keepNext/>
      </w:pPr>
      <w:r>
        <w:t>Modelo B — Conversión de lavadero existente</w:t>
      </w:r>
    </w:p>
    <w:p>
      <w:pPr>
        <w:spacing w:before="0" w:after="240" w:line="320" w:lineRule="auto"/>
      </w:pPr>
      <w:r>
        <w:rPr>
          <w:rFonts w:ascii="Calibri" w:hAnsi="Calibri"/>
          <w:b w:val="0"/>
          <w:i w:val="0"/>
          <w:color w:val="626A75"/>
          <w:sz w:val="23"/>
        </w:rPr>
        <w:t>Moderniza una operación real aprovechando infraestructura, clientes y conocimiento local.</w:t>
      </w:r>
    </w:p>
    <w:p>
      <w:pPr>
        <w:pStyle w:val="Heading2"/>
        <w:keepNext/>
      </w:pPr>
      <w:r>
        <w:t>Qué se evalúa antes de aceptar la conversión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Estado, capacidad y seguridad de equipos actuales.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Caudal, presión, almacenamiento, vertimientos y drenajes.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Flujo de ingreso/salida y viabilidad de automatizar acceso.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Base de clientes, precios, reputación, horarios, capacidad y compatibilidad con estándares Novawash.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Situación legal, permisos, arrendamiento, personal y pasivos operativos.</w:t>
      </w:r>
    </w:p>
    <w:p>
      <w:pPr>
        <w:pStyle w:val="Heading2"/>
        <w:keepNext/>
      </w:pPr>
      <w:r>
        <w:t>Alcance de la conversión completa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100"/>
        <w:gridCol w:w="4130"/>
        <w:gridCol w:w="3130"/>
      </w:tblGrid>
      <w:tr>
        <w:trPr>
          <w:tblHeader w:val="true"/>
        </w:trPr>
        <w:tc>
          <w:tcPr>
            <w:tcW w:type="dxa" w:w="21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413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Incluye</w:t>
            </w:r>
          </w:p>
        </w:tc>
        <w:tc>
          <w:tcPr>
            <w:tcW w:type="dxa" w:w="313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Condición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Tecnología y acceso</w:t>
            </w:r>
          </w:p>
        </w:tc>
        <w:tc>
          <w:tcPr>
            <w:tcW w:type="dxa" w:w="4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Software, QR, backoffice, talanquera, hardware e integración.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Sujeto a compatibilidad y pruebas.</w:t>
            </w:r>
          </w:p>
        </w:tc>
      </w:tr>
      <w:tr>
        <w:trPr>
          <w:cantSplit/>
        </w:trPr>
        <w:tc>
          <w:tcPr>
            <w:tcW w:type="dxa" w:w="21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Operación y know-how</w:t>
            </w:r>
          </w:p>
        </w:tc>
        <w:tc>
          <w:tcPr>
            <w:tcW w:type="dxa" w:w="413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Rediseño de flujo, manuales, capacitación, calidad y apertura.</w:t>
            </w:r>
          </w:p>
        </w:tc>
        <w:tc>
          <w:tcPr>
            <w:tcW w:type="dxa" w:w="313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Adopción completa de estándares.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Marca y experiencia</w:t>
            </w:r>
          </w:p>
        </w:tc>
        <w:tc>
          <w:tcPr>
            <w:tcW w:type="dxa" w:w="4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Identidad Novawash, señalización, cafetería y tienda.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Sujeto a área y permisos.</w:t>
            </w:r>
          </w:p>
        </w:tc>
      </w:tr>
      <w:tr>
        <w:trPr>
          <w:cantSplit/>
        </w:trPr>
        <w:tc>
          <w:tcPr>
            <w:tcW w:type="dxa" w:w="21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Equipos e infraestructura</w:t>
            </w:r>
          </w:p>
        </w:tc>
        <w:tc>
          <w:tcPr>
            <w:tcW w:type="dxa" w:w="413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Reutilización certificada y reemplazo de equipos críticos.</w:t>
            </w:r>
          </w:p>
        </w:tc>
        <w:tc>
          <w:tcPr>
            <w:tcW w:type="dxa" w:w="313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Según auditoría y cotización final.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Suministros</w:t>
            </w:r>
          </w:p>
        </w:tc>
        <w:tc>
          <w:tcPr>
            <w:tcW w:type="dxa" w:w="4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Químicos, repuestos, café y accesorios de apertura.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Reposición recurrente por consumo.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Estructura económica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6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Tratamiento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Auditoría y diseño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Tarifa inicial no reembolsable o descontable del proyecto: [POR DEFINIR].</w:t>
            </w:r>
          </w:p>
        </w:tc>
      </w:tr>
      <w:tr>
        <w:trPr>
          <w:cantSplit/>
        </w:trPr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Equipos reutilizados</w:t>
            </w:r>
          </w:p>
        </w:tc>
        <w:tc>
          <w:tcPr>
            <w:tcW w:type="dxa" w:w="6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Se inventarían, prueban y clasifican; su garantía previa no la asume Novawash.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Equipos nuevos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Se cotizan con instalación, garantía y exclusiones.</w:t>
            </w:r>
          </w:p>
        </w:tc>
      </w:tr>
      <w:tr>
        <w:trPr>
          <w:cantSplit/>
        </w:trPr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Licencia y software</w:t>
            </w:r>
          </w:p>
        </w:tc>
        <w:tc>
          <w:tcPr>
            <w:tcW w:type="dxa" w:w="6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Activación + mensualidad: [POR DEFINIR].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Marca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Uso sujeto a cumplimiento; canon: [POR DEFINIR].</w:t>
            </w:r>
          </w:p>
        </w:tc>
      </w:tr>
      <w:tr>
        <w:trPr>
          <w:cantSplit/>
        </w:trPr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Insumos y mantenimiento</w:t>
            </w:r>
          </w:p>
        </w:tc>
        <w:tc>
          <w:tcPr>
            <w:tcW w:type="dxa" w:w="6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Acuerdo recurrente según equipos y volumen.</w:t>
            </w:r>
          </w:p>
        </w:tc>
      </w:tr>
    </w:tbl>
    <w:p>
      <w:pPr>
        <w:spacing w:before="0" w:after="60" w:line="320" w:lineRule="auto"/>
      </w:pPr>
    </w:p>
    <w:p>
      <w:pPr>
        <w:keepNext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04C</w:t>
      </w:r>
    </w:p>
    <w:p>
      <w:pPr>
        <w:pStyle w:val="Heading1"/>
        <w:keepNext/>
      </w:pPr>
      <w:r>
        <w:t>Modelo C — Socio inversionista de la red Novawash</w:t>
      </w:r>
    </w:p>
    <w:p>
      <w:pPr>
        <w:spacing w:before="0" w:after="240" w:line="320" w:lineRule="auto"/>
      </w:pPr>
      <w:r>
        <w:rPr>
          <w:rFonts w:ascii="Calibri" w:hAnsi="Calibri"/>
          <w:b w:val="0"/>
          <w:i w:val="0"/>
          <w:color w:val="626A75"/>
          <w:sz w:val="23"/>
        </w:rPr>
        <w:t>Participación económica en una sede de la red para quien quiere invertir sin encargarse de la operación diaria.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D5FD1"/>
          <w:left w:val="single" w:sz="8" w:space="0" w:color="1D5FD1"/>
          <w:bottom w:val="single" w:sz="8" w:space="0" w:color="1D5FD1"/>
          <w:right w:val="single" w:sz="8" w:space="0" w:color="1D5FD1"/>
          <w:insideH w:val="single" w:sz="8" w:space="0" w:color="1D5FD1"/>
          <w:insideV w:val="single" w:sz="8" w:space="0" w:color="1D5FD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FF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D5FD1"/>
                <w:sz w:val="22"/>
              </w:rPr>
              <w:t>Menor carga operativa, no ausencia de riesgo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191D"/>
                <w:sz w:val="21"/>
              </w:rPr>
              <w:t>Novawash proyecta, instala y administra la sede; el socio no atiende turnos, personal ni clientes. A cambio, su rentabilidad esperada es menor que la de un dueño-operador y depende del desempeño real. El capital puede perder valor, las distribuciones pueden variar y la salida no es inmediata.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Qué recibe el socio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Participación económica en un proyecto o vehículo claramente identificado y documentado.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Acceso a reportes periódicos de ventas, gastos, ocupación, caja y mantenimiento.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Distribuciones sujetas a la caja disponible y a las reglas contractuales.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Exposición al crecimiento de una red de sedes Novawash sin asumir la operación cotidiana.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Una empresa que integra ubicación, proyecto, marca, software, proveedores, apertura y administración.</w:t>
      </w:r>
    </w:p>
    <w:p>
      <w:pPr>
        <w:pStyle w:val="Heading2"/>
        <w:keepNext/>
      </w:pPr>
      <w:r>
        <w:t>Opciones preliminares de participación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700"/>
        <w:gridCol w:w="2900"/>
        <w:gridCol w:w="2500"/>
        <w:gridCol w:w="2260"/>
      </w:tblGrid>
      <w:tr>
        <w:trPr>
          <w:tblHeader w:val="true"/>
        </w:trPr>
        <w:tc>
          <w:tcPr>
            <w:tcW w:type="dxa" w:w="17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Aporte</w:t>
            </w:r>
          </w:p>
        </w:tc>
        <w:tc>
          <w:tcPr>
            <w:tcW w:type="dxa" w:w="29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Equivalente bruto sobre proyecto de $650 M</w:t>
            </w:r>
          </w:p>
        </w:tc>
        <w:tc>
          <w:tcPr>
            <w:tcW w:type="dxa" w:w="25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Distribución anual objetivo*</w:t>
            </w:r>
          </w:p>
        </w:tc>
        <w:tc>
          <w:tcPr>
            <w:tcW w:type="dxa" w:w="22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Horizonte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$25 M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3,8%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$2,5–4,0 M/año (10–16%)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Mediano/largo plazo</w:t>
            </w:r>
          </w:p>
        </w:tc>
      </w:tr>
      <w:tr>
        <w:trPr>
          <w:cantSplit/>
        </w:trPr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$50 M</w:t>
            </w:r>
          </w:p>
        </w:tc>
        <w:tc>
          <w:tcPr>
            <w:tcW w:type="dxa" w:w="2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7,7%</w:t>
            </w:r>
          </w:p>
        </w:tc>
        <w:tc>
          <w:tcPr>
            <w:tcW w:type="dxa" w:w="2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$5,0–8,0 M/año (10–16%)</w:t>
            </w:r>
          </w:p>
        </w:tc>
        <w:tc>
          <w:tcPr>
            <w:tcW w:type="dxa" w:w="22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Mediano/largo plazo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$100 M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15,4%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$10–16 M/año (10–16%)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Mediano/largo plazo</w:t>
            </w:r>
          </w:p>
        </w:tc>
      </w:tr>
      <w:tr>
        <w:trPr>
          <w:cantSplit/>
        </w:trPr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Otro aporte</w:t>
            </w:r>
          </w:p>
        </w:tc>
        <w:tc>
          <w:tcPr>
            <w:tcW w:type="dxa" w:w="2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Según cierre de capital</w:t>
            </w:r>
          </w:p>
        </w:tc>
        <w:tc>
          <w:tcPr>
            <w:tcW w:type="dxa" w:w="2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Según contrato y desempeño</w:t>
            </w:r>
          </w:p>
        </w:tc>
        <w:tc>
          <w:tcPr>
            <w:tcW w:type="dxa" w:w="22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Por definir</w:t>
            </w:r>
          </w:p>
        </w:tc>
      </w:tr>
    </w:tbl>
    <w:p>
      <w:pPr>
        <w:spacing w:before="0" w:after="60" w:line="320" w:lineRule="auto"/>
      </w:pPr>
    </w:p>
    <w:p>
      <w:pPr>
        <w:spacing w:before="0" w:after="160" w:line="320" w:lineRule="auto"/>
      </w:pPr>
      <w:r>
        <w:rPr>
          <w:rFonts w:ascii="Calibri" w:hAnsi="Calibri"/>
          <w:b w:val="0"/>
          <w:i/>
          <w:color w:val="626A75"/>
          <w:sz w:val="17"/>
        </w:rPr>
        <w:t>*Objetivo ilustrativo después de estabilización, antes de impuestos personales y sin garantía. El porcentaje económico definitivo dependerá de gastos de estructuración, participación de Novawash, reservas, deuda y derechos contractuales; no se calcula únicamente dividiendo el aporte entre $650 M.</w:t>
      </w:r>
    </w:p>
    <w:p>
      <w:pPr>
        <w:pStyle w:val="Heading2"/>
        <w:keepNext/>
      </w:pPr>
      <w:r>
        <w:t>Estructura económica preliminar de una sede de red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3000"/>
        <w:gridCol w:w="2700"/>
        <w:gridCol w:w="3660"/>
      </w:tblGrid>
      <w:tr>
        <w:trPr>
          <w:tblHeader w:val="true"/>
        </w:trPr>
        <w:tc>
          <w:tcPr>
            <w:tcW w:type="dxa" w:w="30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27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Rango / referencia</w:t>
            </w:r>
          </w:p>
        </w:tc>
        <w:tc>
          <w:tcPr>
            <w:tcW w:type="dxa" w:w="36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Ingreso para Novawash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Capital total objetivo por sede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$650 M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Permite financiar montaje y capital inicial.</w:t>
            </w:r>
          </w:p>
        </w:tc>
      </w:tr>
      <w:tr>
        <w:trPr>
          <w:cantSplit/>
        </w:trPr>
        <w:tc>
          <w:tcPr>
            <w:tcW w:type="dxa" w:w="30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Capital de socios externos</w:t>
            </w:r>
          </w:p>
        </w:tc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$450–550 M</w:t>
            </w:r>
          </w:p>
        </w:tc>
        <w:tc>
          <w:tcPr>
            <w:tcW w:type="dxa" w:w="3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Aportes sujetos a estructura legal.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Aporte/promotor Novawash y aliados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$100–200 M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Efectivo, activos o aporte acordado; debe valorarse.</w:t>
            </w:r>
          </w:p>
        </w:tc>
      </w:tr>
      <w:tr>
        <w:trPr>
          <w:cantSplit/>
        </w:trPr>
        <w:tc>
          <w:tcPr>
            <w:tcW w:type="dxa" w:w="30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Estructuración y administración inicial</w:t>
            </w:r>
          </w:p>
        </w:tc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4–6% del capital externo</w:t>
            </w:r>
          </w:p>
        </w:tc>
        <w:tc>
          <w:tcPr>
            <w:tcW w:type="dxa" w:w="3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$18–33 M estimados.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Implementación del proyecto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Presupuesto aprobado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Margen comercial del montaje.</w:t>
            </w:r>
          </w:p>
        </w:tc>
      </w:tr>
      <w:tr>
        <w:trPr>
          <w:cantSplit/>
        </w:trPr>
        <w:tc>
          <w:tcPr>
            <w:tcW w:type="dxa" w:w="30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Operación de la red</w:t>
            </w:r>
          </w:p>
        </w:tc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Mensual / según contrato</w:t>
            </w:r>
          </w:p>
        </w:tc>
        <w:tc>
          <w:tcPr>
            <w:tcW w:type="dxa" w:w="3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Administración, software, marca, soporte y suministros.</w:t>
            </w:r>
          </w:p>
        </w:tc>
      </w:tr>
    </w:tbl>
    <w:p>
      <w:pPr>
        <w:spacing w:before="0" w:after="60" w:line="32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BEC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9B1C1C"/>
                <w:sz w:val="22"/>
              </w:rPr>
              <w:t>Condición legal previa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191D"/>
                <w:sz w:val="21"/>
              </w:rPr>
              <w:t>Novawash no debe recibir dinero del público ni ofrecer participaciones masivamente antes de definir con abogados colombianos la sociedad o vehículo, derechos, gobierno, riesgos, información al inversionista y canal autorizado. Si se utiliza financiación colaborativa mediante valores, debe revisarse el régimen aplicable y la intervención de una entidad autorizada.</w:t>
            </w:r>
          </w:p>
        </w:tc>
      </w:tr>
    </w:tbl>
    <w:p>
      <w:pPr>
        <w:spacing w:before="0" w:after="60" w:line="320" w:lineRule="auto"/>
      </w:pP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05</w:t>
      </w:r>
    </w:p>
    <w:p>
      <w:pPr>
        <w:pStyle w:val="Heading1"/>
        <w:keepNext/>
      </w:pPr>
      <w:r>
        <w:t>Comunidad Nova Drivers y ventas en punto físico</w:t>
      </w:r>
    </w:p>
    <w:p>
      <w:pPr>
        <w:spacing w:before="0" w:after="240" w:line="320" w:lineRule="auto"/>
      </w:pPr>
      <w:r>
        <w:rPr>
          <w:rFonts w:ascii="Calibri" w:hAnsi="Calibri"/>
          <w:b w:val="0"/>
          <w:i w:val="0"/>
          <w:color w:val="626A75"/>
          <w:sz w:val="23"/>
        </w:rPr>
        <w:t>Novawash no vende únicamente una lavada: crea un lugar moderno para cuidar el vehículo, esperar bien y pertenecer.</w:t>
      </w:r>
    </w:p>
    <w:p>
      <w:pPr>
        <w:pStyle w:val="Heading2"/>
        <w:keepNext/>
      </w:pPr>
      <w:r>
        <w:t>La propuesta de comunidad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7191D"/>
          <w:sz w:val="21"/>
        </w:rPr>
        <w:t>Nova Drivers puede reunir propietarios de vehículos alrededor de membresías, recompensas, referidos, encuentros, beneficios con aliados y contenido útil. La sede se convierte en un punto de relación recurrente: el cliente entra por el lavado, permanece por la experiencia y regresa por la comunidad.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Membresías y beneficios por frecuencia.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Programa de referidos y recompensas por comunidad.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Activaciones con clubes, marcas locales y aliados automotrices.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Café cómodo y rápido durante el ciclo de servicio.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Ofertas personalizadas con autorización del cliente.</w:t>
      </w:r>
    </w:p>
    <w:p>
      <w:pPr>
        <w:pStyle w:val="Heading2"/>
        <w:keepNext/>
      </w:pPr>
      <w:r>
        <w:t>Cafetería y tienda Novawash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3850"/>
        <w:gridCol w:w="3610"/>
      </w:tblGrid>
      <w:tr>
        <w:trPr>
          <w:tblHeader w:val="true"/>
        </w:trPr>
        <w:tc>
          <w:tcPr>
            <w:tcW w:type="dxa" w:w="19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385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Ejemplos</w:t>
            </w:r>
          </w:p>
        </w:tc>
        <w:tc>
          <w:tcPr>
            <w:tcW w:type="dxa" w:w="361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Papel en el negocio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Cafetería</w:t>
            </w:r>
          </w:p>
        </w:tc>
        <w:tc>
          <w:tcPr>
            <w:tcW w:type="dxa" w:w="3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Café, bebidas frías, agua y snacks.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Mejora la espera y eleva el ticket por visita.</w:t>
            </w:r>
          </w:p>
        </w:tc>
      </w:tr>
      <w:tr>
        <w:trPr>
          <w:cantSplit/>
        </w:trPr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Cuidado del vehículo</w:t>
            </w:r>
          </w:p>
        </w:tc>
        <w:tc>
          <w:tcPr>
            <w:tcW w:type="dxa" w:w="38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Microfibras, ambientadores, limpiadores y líquido limpiaparabrisas.</w:t>
            </w:r>
          </w:p>
        </w:tc>
        <w:tc>
          <w:tcPr>
            <w:tcW w:type="dxa" w:w="36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Venta natural vinculada al servicio.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Accesorios</w:t>
            </w:r>
          </w:p>
        </w:tc>
        <w:tc>
          <w:tcPr>
            <w:tcW w:type="dxa" w:w="3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Soportes, cargadores, organizadores y artículos prácticos.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Compra por conveniencia e impulso.</w:t>
            </w:r>
          </w:p>
        </w:tc>
      </w:tr>
      <w:tr>
        <w:trPr>
          <w:cantSplit/>
        </w:trPr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Aliados</w:t>
            </w:r>
          </w:p>
        </w:tc>
        <w:tc>
          <w:tcPr>
            <w:tcW w:type="dxa" w:w="38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Productos o servicios automotrices seleccionados.</w:t>
            </w:r>
          </w:p>
        </w:tc>
        <w:tc>
          <w:tcPr>
            <w:tcW w:type="dxa" w:w="36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Comisión, arriendo de espacio o campañas conjuntas.</w:t>
            </w:r>
          </w:p>
        </w:tc>
      </w:tr>
    </w:tbl>
    <w:p>
      <w:pPr>
        <w:spacing w:before="0" w:after="60" w:line="32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37A3B"/>
          <w:left w:val="single" w:sz="8" w:space="0" w:color="237A3B"/>
          <w:bottom w:val="single" w:sz="8" w:space="0" w:color="237A3B"/>
          <w:right w:val="single" w:sz="8" w:space="0" w:color="237A3B"/>
          <w:insideH w:val="single" w:sz="8" w:space="0" w:color="237A3B"/>
          <w:insideV w:val="single" w:sz="8" w:space="0" w:color="237A3B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6EE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237A3B"/>
                <w:sz w:val="22"/>
              </w:rPr>
              <w:t>Supuesto comercial para evaluar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191D"/>
                <w:sz w:val="21"/>
              </w:rPr>
              <w:t>La proyección usa conversión de tienda de 20–30%, ticket adicional de $15.000–$20.000 y margen bruto minorista de 35–45%. Novawash puede obtener además un margen mayorista objetivo de 20–35% al abastecer café, consumibles y accesorios a la red. Los modelos A y B incluyen diseño del espacio, mobiliario base, exhibición, surtido inicial y acceso a la red de suministros. Son metas ilustrativas que deben validarse con proveedores y ventas reales.</w:t>
            </w:r>
          </w:p>
        </w:tc>
      </w:tr>
    </w:tbl>
    <w:p>
      <w:pPr>
        <w:spacing w:before="0" w:after="60" w:line="320" w:lineRule="auto"/>
      </w:pP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06</w:t>
      </w:r>
    </w:p>
    <w:p>
      <w:pPr>
        <w:pStyle w:val="Heading1"/>
        <w:keepNext/>
      </w:pPr>
      <w:r>
        <w:t>Ingresos recurrentes para Novawash</w:t>
      </w:r>
    </w:p>
    <w:p>
      <w:pPr>
        <w:spacing w:before="0" w:after="240" w:line="320" w:lineRule="auto"/>
      </w:pPr>
      <w:r>
        <w:rPr>
          <w:rFonts w:ascii="Calibri" w:hAnsi="Calibri"/>
          <w:b w:val="0"/>
          <w:i w:val="0"/>
          <w:color w:val="626A75"/>
          <w:sz w:val="23"/>
        </w:rPr>
        <w:t>El valor de la red proviene de combinar venta inicial y relación de largo plazo.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550"/>
        <w:gridCol w:w="1700"/>
        <w:gridCol w:w="1500"/>
        <w:gridCol w:w="3610"/>
      </w:tblGrid>
      <w:tr>
        <w:trPr>
          <w:tblHeader w:val="true"/>
        </w:trPr>
        <w:tc>
          <w:tcPr>
            <w:tcW w:type="dxa" w:w="255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Ingreso</w:t>
            </w:r>
          </w:p>
        </w:tc>
        <w:tc>
          <w:tcPr>
            <w:tcW w:type="dxa" w:w="17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15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Aplica a</w:t>
            </w:r>
          </w:p>
        </w:tc>
        <w:tc>
          <w:tcPr>
            <w:tcW w:type="dxa" w:w="361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Método de cobro</w:t>
            </w:r>
          </w:p>
        </w:tc>
      </w:tr>
      <w:tr>
        <w:trPr>
          <w:cantSplit/>
        </w:trP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Estudio e ingeniería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Antes de cotizar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A/B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Tarifa fija o incluida</w:t>
            </w:r>
          </w:p>
        </w:tc>
      </w:tr>
      <w:tr>
        <w:trPr>
          <w:cantSplit/>
        </w:trPr>
        <w:tc>
          <w:tcPr>
            <w:tcW w:type="dxa" w:w="25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Venta del proyecto</w:t>
            </w:r>
          </w:p>
        </w:tc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Montaje/expansión</w:t>
            </w:r>
          </w:p>
        </w:tc>
        <w:tc>
          <w:tcPr>
            <w:tcW w:type="dxa" w:w="1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A/B</w:t>
            </w:r>
          </w:p>
        </w:tc>
        <w:tc>
          <w:tcPr>
            <w:tcW w:type="dxa" w:w="36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Precio llave en mano</w:t>
            </w:r>
          </w:p>
        </w:tc>
      </w:tr>
      <w:tr>
        <w:trPr>
          <w:cantSplit/>
        </w:trP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Estructuración de capital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Cierre de inversión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4–6% objetivo</w:t>
            </w:r>
          </w:p>
        </w:tc>
      </w:tr>
      <w:tr>
        <w:trPr>
          <w:cantSplit/>
        </w:trPr>
        <w:tc>
          <w:tcPr>
            <w:tcW w:type="dxa" w:w="25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Administración de sedes de red</w:t>
            </w:r>
          </w:p>
        </w:tc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Operación</w:t>
            </w:r>
          </w:p>
        </w:tc>
        <w:tc>
          <w:tcPr>
            <w:tcW w:type="dxa" w:w="1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</w:t>
            </w:r>
          </w:p>
        </w:tc>
        <w:tc>
          <w:tcPr>
            <w:tcW w:type="dxa" w:w="36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Mensual o % contractual</w:t>
            </w:r>
          </w:p>
        </w:tc>
      </w:tr>
      <w:tr>
        <w:trPr>
          <w:cantSplit/>
        </w:trP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Software, marca y soporte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Operación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A/B/C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Mensual por sede</w:t>
            </w:r>
          </w:p>
        </w:tc>
      </w:tr>
      <w:tr>
        <w:trPr>
          <w:cantSplit/>
        </w:trPr>
        <w:tc>
          <w:tcPr>
            <w:tcW w:type="dxa" w:w="25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Químicos y repuestos</w:t>
            </w:r>
          </w:p>
        </w:tc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Consumo</w:t>
            </w:r>
          </w:p>
        </w:tc>
        <w:tc>
          <w:tcPr>
            <w:tcW w:type="dxa" w:w="1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A/B/C</w:t>
            </w:r>
          </w:p>
        </w:tc>
        <w:tc>
          <w:tcPr>
            <w:tcW w:type="dxa" w:w="36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Venta recurrente</w:t>
            </w:r>
          </w:p>
        </w:tc>
      </w:tr>
      <w:tr>
        <w:trPr>
          <w:cantSplit/>
        </w:trP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Café, bebidas y accesorios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Consumo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A/B/C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Suministro mayorista</w:t>
            </w:r>
          </w:p>
        </w:tc>
      </w:tr>
      <w:tr>
        <w:trPr>
          <w:cantSplit/>
        </w:trPr>
        <w:tc>
          <w:tcPr>
            <w:tcW w:type="dxa" w:w="25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Mantenimiento</w:t>
            </w:r>
          </w:p>
        </w:tc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Operación</w:t>
            </w:r>
          </w:p>
        </w:tc>
        <w:tc>
          <w:tcPr>
            <w:tcW w:type="dxa" w:w="1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A/B/C</w:t>
            </w:r>
          </w:p>
        </w:tc>
        <w:tc>
          <w:tcPr>
            <w:tcW w:type="dxa" w:w="36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Plan + correctivos</w:t>
            </w:r>
          </w:p>
        </w:tc>
      </w:tr>
      <w:tr>
        <w:trPr>
          <w:cantSplit/>
        </w:trP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Expansión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Nuevas sedes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A/B/C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Nuevo proyecto o ronda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Política de precios recomendada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7191D"/>
          <w:sz w:val="21"/>
        </w:rPr>
        <w:t>Cada propuesta debe separar costo de terceros, honorarios Novawash, margen comercial, impuestos, contingencia y exclusiones. Si se usa una meta de margen bruto, la fórmula correcta 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D5FD1"/>
          <w:left w:val="single" w:sz="8" w:space="0" w:color="1D5FD1"/>
          <w:bottom w:val="single" w:sz="8" w:space="0" w:color="1D5FD1"/>
          <w:right w:val="single" w:sz="8" w:space="0" w:color="1D5FD1"/>
          <w:insideH w:val="single" w:sz="8" w:space="0" w:color="1D5FD1"/>
          <w:insideV w:val="single" w:sz="8" w:space="0" w:color="1D5FD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FF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D5FD1"/>
                <w:sz w:val="22"/>
              </w:rPr>
              <w:t>Precio de venta = costo total directo ÷ (1 − margen bruto objetivo)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191D"/>
                <w:sz w:val="21"/>
              </w:rPr>
              <w:t>Ejemplo ilustrativo: costo directo $100.000.000 y margen bruto objetivo 50% → precio $200.000.000. Sumar 50% al costo daría $150.000.000 y un margen bruto de 33,3%. Esta fórmula es interna y no reemplaza la cotización.</w:t>
            </w:r>
          </w:p>
        </w:tc>
      </w:tr>
    </w:tbl>
    <w:p>
      <w:pPr>
        <w:spacing w:before="0" w:after="60" w:line="320" w:lineRule="auto"/>
      </w:pP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07</w:t>
      </w:r>
    </w:p>
    <w:p>
      <w:pPr>
        <w:pStyle w:val="Heading1"/>
        <w:keepNext/>
      </w:pPr>
      <w:r>
        <w:t>Responsabilidades por etapa</w:t>
      </w:r>
    </w:p>
    <w:p>
      <w:pPr>
        <w:spacing w:before="0" w:after="240" w:line="320" w:lineRule="auto"/>
      </w:pPr>
      <w:r>
        <w:rPr>
          <w:rFonts w:ascii="Calibri" w:hAnsi="Calibri"/>
          <w:b w:val="0"/>
          <w:i w:val="0"/>
          <w:color w:val="626A75"/>
          <w:sz w:val="23"/>
        </w:rPr>
        <w:t>La cotización final debe convertir esta matriz general en un anexo contractual específico.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200"/>
        <w:gridCol w:w="2380"/>
        <w:gridCol w:w="2770"/>
        <w:gridCol w:w="2010"/>
      </w:tblGrid>
      <w:tr>
        <w:trPr>
          <w:tblHeader w:val="true"/>
        </w:trPr>
        <w:tc>
          <w:tcPr>
            <w:tcW w:type="dxa" w:w="22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Actividad</w:t>
            </w:r>
          </w:p>
        </w:tc>
        <w:tc>
          <w:tcPr>
            <w:tcW w:type="dxa" w:w="238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Novawash</w:t>
            </w:r>
          </w:p>
        </w:tc>
        <w:tc>
          <w:tcPr>
            <w:tcW w:type="dxa" w:w="277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Inversionista / operador</w:t>
            </w:r>
          </w:p>
        </w:tc>
        <w:tc>
          <w:tcPr>
            <w:tcW w:type="dxa" w:w="201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Tercero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Evaluación del local</w:t>
            </w:r>
          </w:p>
        </w:tc>
        <w:tc>
          <w:tcPr>
            <w:tcW w:type="dxa" w:w="2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Lidera metodología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Entrega información y acceso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Ingeniero/contratista</w:t>
            </w:r>
          </w:p>
        </w:tc>
      </w:tr>
      <w:tr>
        <w:trPr>
          <w:cantSplit/>
        </w:trPr>
        <w:tc>
          <w:tcPr>
            <w:tcW w:type="dxa" w:w="22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Diseño técnico</w:t>
            </w:r>
          </w:p>
        </w:tc>
        <w:tc>
          <w:tcPr>
            <w:tcW w:type="dxa" w:w="238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Coordina/aprueba</w:t>
            </w:r>
          </w:p>
        </w:tc>
        <w:tc>
          <w:tcPr>
            <w:tcW w:type="dxa" w:w="277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Aprueba presupuesto</w:t>
            </w:r>
          </w:p>
        </w:tc>
        <w:tc>
          <w:tcPr>
            <w:tcW w:type="dxa" w:w="20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Ingeniero firma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Permisos y uso de suelo</w:t>
            </w:r>
          </w:p>
        </w:tc>
        <w:tc>
          <w:tcPr>
            <w:tcW w:type="dxa" w:w="2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Orienta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Responsable principal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Abogado/gestor</w:t>
            </w:r>
          </w:p>
        </w:tc>
      </w:tr>
      <w:tr>
        <w:trPr>
          <w:cantSplit/>
        </w:trPr>
        <w:tc>
          <w:tcPr>
            <w:tcW w:type="dxa" w:w="22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Obra civil</w:t>
            </w:r>
          </w:p>
        </w:tc>
        <w:tc>
          <w:tcPr>
            <w:tcW w:type="dxa" w:w="238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Supervisa según alcance</w:t>
            </w:r>
          </w:p>
        </w:tc>
        <w:tc>
          <w:tcPr>
            <w:tcW w:type="dxa" w:w="277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Contrata/paga según modelo</w:t>
            </w:r>
          </w:p>
        </w:tc>
        <w:tc>
          <w:tcPr>
            <w:tcW w:type="dxa" w:w="20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Constructor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Equipos y montaje</w:t>
            </w:r>
          </w:p>
        </w:tc>
        <w:tc>
          <w:tcPr>
            <w:tcW w:type="dxa" w:w="2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Suministra/coordina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Recibe y custodia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Fabricante/instalador</w:t>
            </w:r>
          </w:p>
        </w:tc>
      </w:tr>
      <w:tr>
        <w:trPr>
          <w:cantSplit/>
        </w:trPr>
        <w:tc>
          <w:tcPr>
            <w:tcW w:type="dxa" w:w="22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Software</w:t>
            </w:r>
          </w:p>
        </w:tc>
        <w:tc>
          <w:tcPr>
            <w:tcW w:type="dxa" w:w="238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Opera y soporta</w:t>
            </w:r>
          </w:p>
        </w:tc>
        <w:tc>
          <w:tcPr>
            <w:tcW w:type="dxa" w:w="277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Usa correctamente</w:t>
            </w:r>
          </w:p>
        </w:tc>
        <w:tc>
          <w:tcPr>
            <w:tcW w:type="dxa" w:w="20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Proveedor de pagos/hosting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Personal local</w:t>
            </w:r>
          </w:p>
        </w:tc>
        <w:tc>
          <w:tcPr>
            <w:tcW w:type="dxa" w:w="2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Capacita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Contrata y dirige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ARL/seguridad</w:t>
            </w:r>
          </w:p>
        </w:tc>
      </w:tr>
      <w:tr>
        <w:trPr>
          <w:cantSplit/>
        </w:trPr>
        <w:tc>
          <w:tcPr>
            <w:tcW w:type="dxa" w:w="22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Químicos</w:t>
            </w:r>
          </w:p>
        </w:tc>
        <w:tc>
          <w:tcPr>
            <w:tcW w:type="dxa" w:w="238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Especifica/suministra</w:t>
            </w:r>
          </w:p>
        </w:tc>
        <w:tc>
          <w:tcPr>
            <w:tcW w:type="dxa" w:w="277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Almacena y consume</w:t>
            </w:r>
          </w:p>
        </w:tc>
        <w:tc>
          <w:tcPr>
            <w:tcW w:type="dxa" w:w="20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Fabricante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Mantenimiento</w:t>
            </w:r>
          </w:p>
        </w:tc>
        <w:tc>
          <w:tcPr>
            <w:tcW w:type="dxa" w:w="2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Planifica/ejecuta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Facilita y reporta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Técnico autorizado</w:t>
            </w:r>
          </w:p>
        </w:tc>
      </w:tr>
      <w:tr>
        <w:trPr>
          <w:cantSplit/>
        </w:trPr>
        <w:tc>
          <w:tcPr>
            <w:tcW w:type="dxa" w:w="22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Ventas locales</w:t>
            </w:r>
          </w:p>
        </w:tc>
        <w:tc>
          <w:tcPr>
            <w:tcW w:type="dxa" w:w="238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Materiales/red</w:t>
            </w:r>
          </w:p>
        </w:tc>
        <w:tc>
          <w:tcPr>
            <w:tcW w:type="dxa" w:w="277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Ejecución local</w:t>
            </w:r>
          </w:p>
        </w:tc>
        <w:tc>
          <w:tcPr>
            <w:tcW w:type="dxa" w:w="20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Agencia opcional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Datos y privacidad</w:t>
            </w:r>
          </w:p>
        </w:tc>
        <w:tc>
          <w:tcPr>
            <w:tcW w:type="dxa" w:w="23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Plataforma y controles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Consentimiento/uso local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Asesor legal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Regla de aceptación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7191D"/>
          <w:sz w:val="21"/>
        </w:rPr>
        <w:t>Ningún elemento debe considerarse incluido por inferencia. Cada propuesta debe tener un cuadro “incluido / no incluido / opcional / responsable”, con cantidad, marca o especificación, garantía y condición de pago.</w:t>
      </w: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08</w:t>
      </w:r>
    </w:p>
    <w:p>
      <w:pPr>
        <w:pStyle w:val="Heading1"/>
        <w:keepNext/>
      </w:pPr>
      <w:r>
        <w:t>Propiedad de activos, software, datos y marca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700"/>
        <w:gridCol w:w="2200"/>
        <w:gridCol w:w="4460"/>
      </w:tblGrid>
      <w:tr>
        <w:trPr>
          <w:tblHeader w:val="true"/>
        </w:trPr>
        <w:tc>
          <w:tcPr>
            <w:tcW w:type="dxa" w:w="27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Activo o derecho</w:t>
            </w:r>
          </w:p>
        </w:tc>
        <w:tc>
          <w:tcPr>
            <w:tcW w:type="dxa" w:w="22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Propiedad propuesta</w:t>
            </w:r>
          </w:p>
        </w:tc>
        <w:tc>
          <w:tcPr>
            <w:tcW w:type="dxa" w:w="44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Condición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Local y mejoras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Inversionista/arrendador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Según título y contrato de arrendamiento.</w:t>
            </w:r>
          </w:p>
        </w:tc>
      </w:tr>
      <w:tr>
        <w:trPr>
          <w:cantSplit/>
        </w:trPr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Maquinaria comprada</w:t>
            </w:r>
          </w:p>
        </w:tc>
        <w:tc>
          <w:tcPr>
            <w:tcW w:type="dxa" w:w="22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Inversionista</w:t>
            </w:r>
          </w:p>
        </w:tc>
        <w:tc>
          <w:tcPr>
            <w:tcW w:type="dxa" w:w="44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Después del pago total; garantía según proveedor.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Hardware en comodato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Novawash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Solo si el contrato lo define.</w:t>
            </w:r>
          </w:p>
        </w:tc>
      </w:tr>
      <w:tr>
        <w:trPr>
          <w:cantSplit/>
        </w:trPr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Marca Novawash</w:t>
            </w:r>
          </w:p>
        </w:tc>
        <w:tc>
          <w:tcPr>
            <w:tcW w:type="dxa" w:w="22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Novawash</w:t>
            </w:r>
          </w:p>
        </w:tc>
        <w:tc>
          <w:tcPr>
            <w:tcW w:type="dxa" w:w="44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Licencia limitada; no se transfiere.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Software y código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Novawash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Licencia de uso; sin acceso al código fuente salvo contrato.</w:t>
            </w:r>
          </w:p>
        </w:tc>
      </w:tr>
      <w:tr>
        <w:trPr>
          <w:cantSplit/>
        </w:trPr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Diseños y manuales</w:t>
            </w:r>
          </w:p>
        </w:tc>
        <w:tc>
          <w:tcPr>
            <w:tcW w:type="dxa" w:w="22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Novawash/licenciantes</w:t>
            </w:r>
          </w:p>
        </w:tc>
        <w:tc>
          <w:tcPr>
            <w:tcW w:type="dxa" w:w="44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Uso limitado a la sede.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Base de clientes local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Definir contractualmente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Accesos, portabilidad y uso al terminar.</w:t>
            </w:r>
          </w:p>
        </w:tc>
      </w:tr>
      <w:tr>
        <w:trPr>
          <w:cantSplit/>
        </w:trPr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Datos agregados/anonimizados</w:t>
            </w:r>
          </w:p>
        </w:tc>
        <w:tc>
          <w:tcPr>
            <w:tcW w:type="dxa" w:w="22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Novawash</w:t>
            </w:r>
          </w:p>
        </w:tc>
        <w:tc>
          <w:tcPr>
            <w:tcW w:type="dxa" w:w="44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Solo con bases legales y contrato.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Contenido comercial local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Según creación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Uso cruzado sujeto a autorización.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Salida o terminación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Suspensión o cierre de accesos sin afectar exportación legal de datos.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Retiro de marca, señalización y materiales protegidos.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Pago de saldos, soporte de transición y tratamiento de garantías.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Definición de compatibilidad futura del hardware sin Novawash.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No uso de manuales, marca, configuraciones ni secretos empresariales.</w:t>
      </w: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09</w:t>
      </w:r>
    </w:p>
    <w:p>
      <w:pPr>
        <w:pStyle w:val="Heading1"/>
        <w:keepNext/>
      </w:pPr>
      <w:r>
        <w:t>Territorio y exclusividad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6A1A"/>
          <w:left w:val="single" w:sz="8" w:space="0" w:color="FF6A1A"/>
          <w:bottom w:val="single" w:sz="8" w:space="0" w:color="FF6A1A"/>
          <w:right w:val="single" w:sz="8" w:space="0" w:color="FF6A1A"/>
          <w:insideH w:val="single" w:sz="8" w:space="0" w:color="FF6A1A"/>
          <w:insideV w:val="single" w:sz="8" w:space="0" w:color="FF6A1A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0E7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6A1A"/>
                <w:sz w:val="22"/>
              </w:rPr>
              <w:t>Principio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191D"/>
                <w:sz w:val="21"/>
              </w:rPr>
              <w:t>La exclusividad no debe entregarse solo por pagar una licencia. Debe estar ligada a apertura, inversión, calidad y metas de desarrollo verificables.</w:t>
            </w:r>
          </w:p>
        </w:tc>
      </w:tr>
    </w:tbl>
    <w:p>
      <w:pPr>
        <w:spacing w:before="0" w:after="60" w:line="32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66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Definición pendiente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Unidad territorial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Radio en km, barrio, localidad, municipio o ciudad.</w:t>
            </w:r>
          </w:p>
        </w:tc>
      </w:tr>
      <w:tr>
        <w:trPr>
          <w:cantSplit/>
        </w:trPr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Duración</w:t>
            </w:r>
          </w:p>
        </w:tc>
        <w:tc>
          <w:tcPr>
            <w:tcW w:type="dxa" w:w="6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[POR DEFINIR] meses/años.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Condición de apertura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Sede operativa antes de [POR DEFINIR].</w:t>
            </w:r>
          </w:p>
        </w:tc>
      </w:tr>
      <w:tr>
        <w:trPr>
          <w:cantSplit/>
        </w:trPr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Desarrollo mínimo</w:t>
            </w:r>
          </w:p>
        </w:tc>
        <w:tc>
          <w:tcPr>
            <w:tcW w:type="dxa" w:w="6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[POR DEFINIR] sedes o ventas en [POR DEFINIR].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Calidad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Cumplimiento de auditorías y disponibilidad mínima.</w:t>
            </w:r>
          </w:p>
        </w:tc>
      </w:tr>
      <w:tr>
        <w:trPr>
          <w:cantSplit/>
        </w:trPr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Excepciones</w:t>
            </w:r>
          </w:p>
        </w:tc>
        <w:tc>
          <w:tcPr>
            <w:tcW w:type="dxa" w:w="6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E-commerce, B2B, estaciones aliadas, white label y cuentas nacionales.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8"/>
              </w:rPr>
              <w:t>Pérdida de exclusividad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Incumplimiento, inactividad, mora o reputación crítica.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Orden recomendado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7191D"/>
          <w:sz w:val="21"/>
        </w:rPr>
        <w:t>1) reserva de zona durante estudio; 2) territorio provisional durante montaje; 3) exclusividad condicionada después de apertura; 4) revisión anual. La distancia mínima entre sedes debe basarse en demanda y tiempos de desplazamiento, no en una cifra arbitraria.</w:t>
      </w: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10</w:t>
      </w:r>
    </w:p>
    <w:p>
      <w:pPr>
        <w:pStyle w:val="Heading1"/>
        <w:keepNext/>
      </w:pPr>
      <w:r>
        <w:t>Requisitos del local y prefactibilidad técnica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43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Información requerida</w:t>
            </w:r>
          </w:p>
        </w:tc>
        <w:tc>
          <w:tcPr>
            <w:tcW w:type="dxa" w:w="33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Criterio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Ubicación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Dirección, coordenadas, vías, tráfico, competencia.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Evaluación comercial</w:t>
            </w:r>
          </w:p>
        </w:tc>
      </w:tr>
      <w:tr>
        <w:trPr>
          <w:cantSplit/>
        </w:trPr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Área</w:t>
            </w:r>
          </w:p>
        </w:tc>
        <w:tc>
          <w:tcPr>
            <w:tcW w:type="dxa" w:w="43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Lote, frente, fondo, altura, circulación y espera.</w:t>
            </w:r>
          </w:p>
        </w:tc>
        <w:tc>
          <w:tcPr>
            <w:tcW w:type="dxa" w:w="33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[POR DEFINIR] m² mínimos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Acceso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Giros, entrada/salida, cola interna, visibilidad.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Sin bloquear vía pública</w:t>
            </w:r>
          </w:p>
        </w:tc>
      </w:tr>
      <w:tr>
        <w:trPr>
          <w:cantSplit/>
        </w:trPr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Agua</w:t>
            </w:r>
          </w:p>
        </w:tc>
        <w:tc>
          <w:tcPr>
            <w:tcW w:type="dxa" w:w="43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Caudal, presión, tanque, costo y continuidad.</w:t>
            </w:r>
          </w:p>
        </w:tc>
        <w:tc>
          <w:tcPr>
            <w:tcW w:type="dxa" w:w="33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Validación de ingeniería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Drenaje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Pendientes, trampas, vertimientos y reciclaje.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Cumplimiento ambiental</w:t>
            </w:r>
          </w:p>
        </w:tc>
      </w:tr>
      <w:tr>
        <w:trPr>
          <w:cantSplit/>
        </w:trPr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Energía</w:t>
            </w:r>
          </w:p>
        </w:tc>
        <w:tc>
          <w:tcPr>
            <w:tcW w:type="dxa" w:w="43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Carga disponible, fases, respaldo y tableros.</w:t>
            </w:r>
          </w:p>
        </w:tc>
        <w:tc>
          <w:tcPr>
            <w:tcW w:type="dxa" w:w="33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Memoria eléctrica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Estructura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Cubierta, pisos, anclajes, ventilación.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Cálculo cuando aplique</w:t>
            </w:r>
          </w:p>
        </w:tc>
      </w:tr>
      <w:tr>
        <w:trPr>
          <w:cantSplit/>
        </w:trPr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Seguridad</w:t>
            </w:r>
          </w:p>
        </w:tc>
        <w:tc>
          <w:tcPr>
            <w:tcW w:type="dxa" w:w="43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Emergencias, señalización, EPP, CCTV, riesgos.</w:t>
            </w:r>
          </w:p>
        </w:tc>
        <w:tc>
          <w:tcPr>
            <w:tcW w:type="dxa" w:w="33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Plan de seguridad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Permisos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Uso de suelo, ambiente, bomberos, publicidad.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Responsable local</w:t>
            </w:r>
          </w:p>
        </w:tc>
      </w:tr>
      <w:tr>
        <w:trPr>
          <w:cantSplit/>
        </w:trPr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Comercial</w:t>
            </w:r>
          </w:p>
        </w:tc>
        <w:tc>
          <w:tcPr>
            <w:tcW w:type="dxa" w:w="43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Ticket, mercado, arriendo, horarios, personal.</w:t>
            </w:r>
          </w:p>
        </w:tc>
        <w:tc>
          <w:tcPr>
            <w:tcW w:type="dxa" w:w="33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Modelo financiero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Documentos mínimos del interesado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Fotos y video del recorrido completo.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Plano o medidas verificables.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Factura o certificado de disponibilidad de servicios.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Borrador de arrendamiento o certificado de tradición.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Información de permisos y restricciones del predio.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Presupuesto disponible y fuente de financiación.</w:t>
      </w: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11</w:t>
      </w:r>
    </w:p>
    <w:p>
      <w:pPr>
        <w:pStyle w:val="Heading1"/>
        <w:keepNext/>
      </w:pPr>
      <w:r>
        <w:t>Proceso desde el interés hasta la apertura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800"/>
        <w:gridCol w:w="4660"/>
        <w:gridCol w:w="2900"/>
      </w:tblGrid>
      <w:tr>
        <w:trPr>
          <w:tblHeader w:val="true"/>
        </w:trPr>
        <w:tc>
          <w:tcPr>
            <w:tcW w:type="dxa" w:w="18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46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9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Entregable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1. Calificación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Formulario, capital, experiencia, ciudad y modelo preferido.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Interesado calificado</w:t>
            </w:r>
          </w:p>
        </w:tc>
      </w:tr>
      <w:tr>
        <w:trPr>
          <w:cantSplit/>
        </w:trPr>
        <w:tc>
          <w:tcPr>
            <w:tcW w:type="dxa" w:w="1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2. Prefactibilidad</w:t>
            </w:r>
          </w:p>
        </w:tc>
        <w:tc>
          <w:tcPr>
            <w:tcW w:type="dxa" w:w="4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Revisión documental, mercado y restricciones.</w:t>
            </w:r>
          </w:p>
        </w:tc>
        <w:tc>
          <w:tcPr>
            <w:tcW w:type="dxa" w:w="2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Concepto preliminar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3. Visita técnica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Medidas, servicios, drenajes, equipos y flujo.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Informe técnico</w:t>
            </w:r>
          </w:p>
        </w:tc>
      </w:tr>
      <w:tr>
        <w:trPr>
          <w:cantSplit/>
        </w:trPr>
        <w:tc>
          <w:tcPr>
            <w:tcW w:type="dxa" w:w="1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4. Anteproyecto</w:t>
            </w:r>
          </w:p>
        </w:tc>
        <w:tc>
          <w:tcPr>
            <w:tcW w:type="dxa" w:w="4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Layout, alcance, equipos, cronograma y presupuesto.</w:t>
            </w:r>
          </w:p>
        </w:tc>
        <w:tc>
          <w:tcPr>
            <w:tcW w:type="dxa" w:w="2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Propuesta no vinculante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5. Contratos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Licencia, software, obra, equipos, datos y pagos.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Documentos firmados</w:t>
            </w:r>
          </w:p>
        </w:tc>
      </w:tr>
      <w:tr>
        <w:trPr>
          <w:cantSplit/>
        </w:trPr>
        <w:tc>
          <w:tcPr>
            <w:tcW w:type="dxa" w:w="1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6. Ingeniería final</w:t>
            </w:r>
          </w:p>
        </w:tc>
        <w:tc>
          <w:tcPr>
            <w:tcW w:type="dxa" w:w="4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Planos, memorias, BOM y responsables.</w:t>
            </w:r>
          </w:p>
        </w:tc>
        <w:tc>
          <w:tcPr>
            <w:tcW w:type="dxa" w:w="2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Aprobación para ejecutar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7. Montaje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Obra, equipos, hardware, software y pruebas.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Sede instalada</w:t>
            </w:r>
          </w:p>
        </w:tc>
      </w:tr>
      <w:tr>
        <w:trPr>
          <w:cantSplit/>
        </w:trPr>
        <w:tc>
          <w:tcPr>
            <w:tcW w:type="dxa" w:w="1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8. Capacitación</w:t>
            </w:r>
          </w:p>
        </w:tc>
        <w:tc>
          <w:tcPr>
            <w:tcW w:type="dxa" w:w="4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Operación, servicio, seguridad y contingencias.</w:t>
            </w:r>
          </w:p>
        </w:tc>
        <w:tc>
          <w:tcPr>
            <w:tcW w:type="dxa" w:w="2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Equipo certificado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9. Soft opening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Pruebas controladas, ajustes y medición.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Acta de aceptación</w:t>
            </w:r>
          </w:p>
        </w:tc>
      </w:tr>
      <w:tr>
        <w:trPr>
          <w:cantSplit/>
        </w:trPr>
        <w:tc>
          <w:tcPr>
            <w:tcW w:type="dxa" w:w="1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10. Apertura</w:t>
            </w:r>
          </w:p>
        </w:tc>
        <w:tc>
          <w:tcPr>
            <w:tcW w:type="dxa" w:w="4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Lanzamiento, soporte intensivo y seguimiento.</w:t>
            </w:r>
          </w:p>
        </w:tc>
        <w:tc>
          <w:tcPr>
            <w:tcW w:type="dxa" w:w="2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Operación activa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Cronograma base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7191D"/>
          <w:sz w:val="21"/>
        </w:rPr>
        <w:t>Tiempo total objetivo: [POR DEFINIR] semanas. Dependencias críticas: permisos, anticipo, importación/fabricación, obra, servicios, integración de talanquera y pruebas. Cualquier fecha comercial debe indicar estas condiciones.</w:t>
      </w: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12</w:t>
      </w:r>
    </w:p>
    <w:p>
      <w:pPr>
        <w:pStyle w:val="Heading1"/>
        <w:keepNext/>
      </w:pPr>
      <w:r>
        <w:t>Operación, soporte y mantenimiento</w:t>
      </w:r>
    </w:p>
    <w:p>
      <w:pPr>
        <w:pStyle w:val="Heading2"/>
        <w:keepNext/>
      </w:pPr>
      <w:r>
        <w:t>Modelo operativo mínimo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Checklist diario de apertura, seguridad, presión, químicos, sensores y lector.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Registro de incidentes, paradas, retrabajos y reclamaciones.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Control de consumo por lavada y reposición de químicos.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Conciliación de Wompi, efectivo, saldos y lavadas.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Limpieza de equipos, drenajes y zonas de tránsito.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Auditoría de calidad y revisión de experiencia del cliente.</w:t>
      </w:r>
    </w:p>
    <w:p>
      <w:pPr>
        <w:pStyle w:val="Heading2"/>
        <w:keepNext/>
      </w:pPr>
      <w:r>
        <w:t>Niveles de servicio por definir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600"/>
        <w:gridCol w:w="1500"/>
        <w:gridCol w:w="1600"/>
        <w:gridCol w:w="1960"/>
        <w:gridCol w:w="1700"/>
      </w:tblGrid>
      <w:tr>
        <w:trPr>
          <w:tblHeader w:val="true"/>
        </w:trPr>
        <w:tc>
          <w:tcPr>
            <w:tcW w:type="dxa" w:w="26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Servicio</w:t>
            </w:r>
          </w:p>
        </w:tc>
        <w:tc>
          <w:tcPr>
            <w:tcW w:type="dxa" w:w="15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Horario</w:t>
            </w:r>
          </w:p>
        </w:tc>
        <w:tc>
          <w:tcPr>
            <w:tcW w:type="dxa" w:w="16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</w:t>
            </w:r>
          </w:p>
        </w:tc>
        <w:tc>
          <w:tcPr>
            <w:tcW w:type="dxa" w:w="19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Restablecimiento</w:t>
            </w:r>
          </w:p>
        </w:tc>
        <w:tc>
          <w:tcPr>
            <w:tcW w:type="dxa" w:w="17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Precio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Soporte software estándar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[POR DEFINIR]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[POR DEFINIR]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[POR DEFINIR]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[POR DEFINIR]</w:t>
            </w:r>
          </w:p>
        </w:tc>
      </w:tr>
      <w:tr>
        <w:trPr>
          <w:cantSplit/>
        </w:trPr>
        <w:tc>
          <w:tcPr>
            <w:tcW w:type="dxa" w:w="2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Incidente crítico de operación</w:t>
            </w:r>
          </w:p>
        </w:tc>
        <w:tc>
          <w:tcPr>
            <w:tcW w:type="dxa" w:w="1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[POR DEFINIR]</w:t>
            </w:r>
          </w:p>
        </w:tc>
        <w:tc>
          <w:tcPr>
            <w:tcW w:type="dxa" w:w="1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[POR DEFINIR]</w:t>
            </w:r>
          </w:p>
        </w:tc>
        <w:tc>
          <w:tcPr>
            <w:tcW w:type="dxa" w:w="19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[POR DEFINIR]</w:t>
            </w:r>
          </w:p>
        </w:tc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[POR DEFINIR]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Mantenimiento preventivo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Programado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Calendario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N/A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[POR DEFINIR]</w:t>
            </w:r>
          </w:p>
        </w:tc>
      </w:tr>
      <w:tr>
        <w:trPr>
          <w:cantSplit/>
        </w:trPr>
        <w:tc>
          <w:tcPr>
            <w:tcW w:type="dxa" w:w="2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Visita técnica</w:t>
            </w:r>
          </w:p>
        </w:tc>
        <w:tc>
          <w:tcPr>
            <w:tcW w:type="dxa" w:w="1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Agenda</w:t>
            </w:r>
          </w:p>
        </w:tc>
        <w:tc>
          <w:tcPr>
            <w:tcW w:type="dxa" w:w="1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[POR DEFINIR]</w:t>
            </w:r>
          </w:p>
        </w:tc>
        <w:tc>
          <w:tcPr>
            <w:tcW w:type="dxa" w:w="19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Según diagnóstico</w:t>
            </w:r>
          </w:p>
        </w:tc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[POR DEFINIR]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Repuesto crítico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Inventario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[POR DEFINIR]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Según disponibilidad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[POR DEFINIR]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Garantías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7191D"/>
          <w:sz w:val="21"/>
        </w:rPr>
        <w:t>La propuesta final debe separar garantía de fabricación, instalación, software y consumibles; indicar exclusiones por mal uso, calidad de agua, energía, químicos no autorizados, golpes, vandalismo y mantenimiento omitido.</w:t>
      </w: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13</w:t>
      </w:r>
    </w:p>
    <w:p>
      <w:pPr>
        <w:pStyle w:val="Heading1"/>
        <w:keepNext/>
      </w:pPr>
      <w:r>
        <w:t>Químicos, insumos y repuestos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400"/>
        <w:gridCol w:w="1350"/>
        <w:gridCol w:w="2150"/>
        <w:gridCol w:w="1500"/>
        <w:gridCol w:w="1100"/>
        <w:gridCol w:w="860"/>
      </w:tblGrid>
      <w:tr>
        <w:trPr>
          <w:tblHeader w:val="true"/>
        </w:trPr>
        <w:tc>
          <w:tcPr>
            <w:tcW w:type="dxa" w:w="24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Familia</w:t>
            </w:r>
          </w:p>
        </w:tc>
        <w:tc>
          <w:tcPr>
            <w:tcW w:type="dxa" w:w="135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Unidad</w:t>
            </w:r>
          </w:p>
        </w:tc>
        <w:tc>
          <w:tcPr>
            <w:tcW w:type="dxa" w:w="215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Consumo objetivo</w:t>
            </w:r>
          </w:p>
        </w:tc>
        <w:tc>
          <w:tcPr>
            <w:tcW w:type="dxa" w:w="15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Proveedor</w:t>
            </w:r>
          </w:p>
        </w:tc>
        <w:tc>
          <w:tcPr>
            <w:tcW w:type="dxa" w:w="11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Precio</w:t>
            </w:r>
          </w:p>
        </w:tc>
        <w:tc>
          <w:tcPr>
            <w:tcW w:type="dxa" w:w="8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Margen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Shampoo / espuma técnica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 por lavada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[INTERNO]</w:t>
            </w:r>
          </w:p>
        </w:tc>
      </w:tr>
      <w:tr>
        <w:trPr>
          <w:cantSplit/>
        </w:trPr>
        <w:tc>
          <w:tcPr>
            <w:tcW w:type="dxa" w:w="24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Sellante / protector</w:t>
            </w:r>
          </w:p>
        </w:tc>
        <w:tc>
          <w:tcPr>
            <w:tcW w:type="dxa" w:w="13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21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 por lavada</w:t>
            </w:r>
          </w:p>
        </w:tc>
        <w:tc>
          <w:tcPr>
            <w:tcW w:type="dxa" w:w="1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11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8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[INTERNO]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Desengrasante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 por lavada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[INTERNO]</w:t>
            </w:r>
          </w:p>
        </w:tc>
      </w:tr>
      <w:tr>
        <w:trPr>
          <w:cantSplit/>
        </w:trPr>
        <w:tc>
          <w:tcPr>
            <w:tcW w:type="dxa" w:w="24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Ambientador y acabado</w:t>
            </w:r>
          </w:p>
        </w:tc>
        <w:tc>
          <w:tcPr>
            <w:tcW w:type="dxa" w:w="13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21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 por lavada</w:t>
            </w:r>
          </w:p>
        </w:tc>
        <w:tc>
          <w:tcPr>
            <w:tcW w:type="dxa" w:w="1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11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8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[INTERNO]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Filtros y boquillas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Por horas/ciclos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[INTERNO]</w:t>
            </w:r>
          </w:p>
        </w:tc>
      </w:tr>
      <w:tr>
        <w:trPr>
          <w:cantSplit/>
        </w:trPr>
        <w:tc>
          <w:tcPr>
            <w:tcW w:type="dxa" w:w="24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Repuestos críticos</w:t>
            </w:r>
          </w:p>
        </w:tc>
        <w:tc>
          <w:tcPr>
            <w:tcW w:type="dxa" w:w="13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Kit por sede</w:t>
            </w:r>
          </w:p>
        </w:tc>
        <w:tc>
          <w:tcPr>
            <w:tcW w:type="dxa" w:w="21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Stock mínimo</w:t>
            </w:r>
          </w:p>
        </w:tc>
        <w:tc>
          <w:tcPr>
            <w:tcW w:type="dxa" w:w="1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11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[POR DEFINIR]</w:t>
            </w:r>
          </w:p>
        </w:tc>
        <w:tc>
          <w:tcPr>
            <w:tcW w:type="dxa" w:w="8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[INTERNO]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Política sugerida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7191D"/>
          <w:sz w:val="21"/>
        </w:rPr>
        <w:t>Definir una lista de consumibles obligatorios por seguridad, consistencia y garantía; permitir equivalencias solo mediante aprobación escrita. Medir costo químico por lavada, desperdicio, inventario mínimo y días de cobertura.</w:t>
      </w: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14</w:t>
      </w:r>
    </w:p>
    <w:p>
      <w:pPr>
        <w:pStyle w:val="Heading1"/>
        <w:keepNext/>
      </w:pPr>
      <w:r>
        <w:t>Escenarios financieros — método editable</w:t>
      </w:r>
    </w:p>
    <w:p>
      <w:pPr>
        <w:spacing w:before="0" w:after="240" w:line="320" w:lineRule="auto"/>
      </w:pPr>
      <w:r>
        <w:rPr>
          <w:rFonts w:ascii="Calibri" w:hAnsi="Calibri"/>
          <w:b w:val="0"/>
          <w:i w:val="0"/>
          <w:color w:val="626A75"/>
          <w:sz w:val="23"/>
        </w:rPr>
        <w:t>Los escenarios muestran cómo calcular; no sustituyen ventas históricas ni una evaluación de inversión.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D5FD1"/>
          <w:left w:val="single" w:sz="8" w:space="0" w:color="1D5FD1"/>
          <w:bottom w:val="single" w:sz="8" w:space="0" w:color="1D5FD1"/>
          <w:right w:val="single" w:sz="8" w:space="0" w:color="1D5FD1"/>
          <w:insideH w:val="single" w:sz="8" w:space="0" w:color="1D5FD1"/>
          <w:insideV w:val="single" w:sz="8" w:space="0" w:color="1D5FD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FF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D5FD1"/>
                <w:sz w:val="22"/>
              </w:rPr>
              <w:t>Capacidad y base ilustrativa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191D"/>
                <w:sz w:val="21"/>
              </w:rPr>
              <w:t>Un ciclo de 15 minutos equivale a 4 vehículos por hora por línea. Con 10 horas diarias y 26 días, una línea tendría 1.040 espacios mensuales teóricos al 100%; la capacidad comercial real debe reservar tiempo para ingreso, salida, pausas, mantenimiento y variación de demanda. Para proyectar se usa un ticket medio de lavado de $30.000.</w:t>
            </w:r>
          </w:p>
        </w:tc>
      </w:tr>
    </w:tbl>
    <w:p>
      <w:pPr>
        <w:spacing w:before="0" w:after="60" w:line="32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800"/>
        <w:gridCol w:w="1450"/>
        <w:gridCol w:w="1450"/>
        <w:gridCol w:w="2750"/>
        <w:gridCol w:w="1910"/>
      </w:tblGrid>
      <w:tr>
        <w:trPr>
          <w:tblHeader w:val="true"/>
        </w:trPr>
        <w:tc>
          <w:tcPr>
            <w:tcW w:type="dxa" w:w="18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145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Vehículos/día</w:t>
            </w:r>
          </w:p>
        </w:tc>
        <w:tc>
          <w:tcPr>
            <w:tcW w:type="dxa" w:w="145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Lavadas/mes</w:t>
            </w:r>
          </w:p>
        </w:tc>
        <w:tc>
          <w:tcPr>
            <w:tcW w:type="dxa" w:w="275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Configuración indicativa</w:t>
            </w:r>
          </w:p>
        </w:tc>
        <w:tc>
          <w:tcPr>
            <w:tcW w:type="dxa" w:w="191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Ventas de lavado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Lanzamiento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20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520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1 línea, utilización moderada</w:t>
            </w:r>
          </w:p>
        </w:tc>
        <w:tc>
          <w:tcPr>
            <w:tcW w:type="dxa" w:w="1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$15.600.000</w:t>
            </w:r>
          </w:p>
        </w:tc>
      </w:tr>
      <w:tr>
        <w:trPr>
          <w:cantSplit/>
        </w:trPr>
        <w:tc>
          <w:tcPr>
            <w:tcW w:type="dxa" w:w="1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Consolidación</w:t>
            </w:r>
          </w:p>
        </w:tc>
        <w:tc>
          <w:tcPr>
            <w:tcW w:type="dxa" w:w="14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35</w:t>
            </w:r>
          </w:p>
        </w:tc>
        <w:tc>
          <w:tcPr>
            <w:tcW w:type="dxa" w:w="14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910</w:t>
            </w:r>
          </w:p>
        </w:tc>
        <w:tc>
          <w:tcPr>
            <w:tcW w:type="dxa" w:w="27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1 línea exigida u horario ampliado</w:t>
            </w:r>
          </w:p>
        </w:tc>
        <w:tc>
          <w:tcPr>
            <w:tcW w:type="dxa" w:w="191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$27.300.000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Expansión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60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1.560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2 líneas u operación ampliada</w:t>
            </w:r>
          </w:p>
        </w:tc>
        <w:tc>
          <w:tcPr>
            <w:tcW w:type="dxa" w:w="1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$46.800.000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Venta adicional en cafetería y tienda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800"/>
        <w:gridCol w:w="1900"/>
        <w:gridCol w:w="1800"/>
        <w:gridCol w:w="1900"/>
        <w:gridCol w:w="1960"/>
      </w:tblGrid>
      <w:tr>
        <w:trPr>
          <w:tblHeader w:val="true"/>
        </w:trPr>
        <w:tc>
          <w:tcPr>
            <w:tcW w:type="dxa" w:w="18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19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Clientes que compran</w:t>
            </w:r>
          </w:p>
        </w:tc>
        <w:tc>
          <w:tcPr>
            <w:tcW w:type="dxa" w:w="18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Ticket adicional</w:t>
            </w:r>
          </w:p>
        </w:tc>
        <w:tc>
          <w:tcPr>
            <w:tcW w:type="dxa" w:w="19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Venta de punto físico</w:t>
            </w:r>
          </w:p>
        </w:tc>
        <w:tc>
          <w:tcPr>
            <w:tcW w:type="dxa" w:w="19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Venta total mensual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Lanzamiento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20%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$15.000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$1.560.000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$17.160.000</w:t>
            </w:r>
          </w:p>
        </w:tc>
      </w:tr>
      <w:tr>
        <w:trPr>
          <w:cantSplit/>
        </w:trPr>
        <w:tc>
          <w:tcPr>
            <w:tcW w:type="dxa" w:w="1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Consolidación</w:t>
            </w:r>
          </w:p>
        </w:tc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25%</w:t>
            </w:r>
          </w:p>
        </w:tc>
        <w:tc>
          <w:tcPr>
            <w:tcW w:type="dxa" w:w="1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$18.000</w:t>
            </w:r>
          </w:p>
        </w:tc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$4.095.000</w:t>
            </w:r>
          </w:p>
        </w:tc>
        <w:tc>
          <w:tcPr>
            <w:tcW w:type="dxa" w:w="19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$31.395.000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Expansión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30%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$20.000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$9.360.000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$56.160.000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Resultado operativo mensual ilustrativo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3500"/>
        <w:gridCol w:w="1950"/>
        <w:gridCol w:w="1950"/>
        <w:gridCol w:w="1960"/>
      </w:tblGrid>
      <w:tr>
        <w:trPr>
          <w:tblHeader w:val="true"/>
        </w:trPr>
        <w:tc>
          <w:tcPr>
            <w:tcW w:type="dxa" w:w="35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195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Lanzamiento</w:t>
            </w:r>
          </w:p>
        </w:tc>
        <w:tc>
          <w:tcPr>
            <w:tcW w:type="dxa" w:w="195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Consolidación</w:t>
            </w:r>
          </w:p>
        </w:tc>
        <w:tc>
          <w:tcPr>
            <w:tcW w:type="dxa" w:w="19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Expansión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Ventas totales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$17,16 M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$31,40 M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$56,16 M</w:t>
            </w:r>
          </w:p>
        </w:tc>
      </w:tr>
      <w:tr>
        <w:trPr>
          <w:cantSplit/>
        </w:trPr>
        <w:tc>
          <w:tcPr>
            <w:tcW w:type="dxa" w:w="3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Costo variable del lavado</w:t>
            </w:r>
          </w:p>
        </w:tc>
        <w:tc>
          <w:tcPr>
            <w:tcW w:type="dxa" w:w="19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$3,12 M</w:t>
            </w:r>
          </w:p>
        </w:tc>
        <w:tc>
          <w:tcPr>
            <w:tcW w:type="dxa" w:w="19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$5,92 M</w:t>
            </w:r>
          </w:p>
        </w:tc>
        <w:tc>
          <w:tcPr>
            <w:tcW w:type="dxa" w:w="19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$10,92 M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Costo de productos vendidos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$0,94 M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$2,38 M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$5,15 M</w:t>
            </w:r>
          </w:p>
        </w:tc>
      </w:tr>
      <w:tr>
        <w:trPr>
          <w:cantSplit/>
        </w:trPr>
        <w:tc>
          <w:tcPr>
            <w:tcW w:type="dxa" w:w="3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Costos fijos operativos</w:t>
            </w:r>
          </w:p>
        </w:tc>
        <w:tc>
          <w:tcPr>
            <w:tcW w:type="dxa" w:w="19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$11,00 M</w:t>
            </w:r>
          </w:p>
        </w:tc>
        <w:tc>
          <w:tcPr>
            <w:tcW w:type="dxa" w:w="19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$14,00 M</w:t>
            </w:r>
          </w:p>
        </w:tc>
        <w:tc>
          <w:tcPr>
            <w:tcW w:type="dxa" w:w="19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$20,00 M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EBITDA estimado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$2,10 M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$9,10 M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$20,09 M</w:t>
            </w:r>
          </w:p>
        </w:tc>
      </w:tr>
      <w:tr>
        <w:trPr>
          <w:cantSplit/>
        </w:trPr>
        <w:tc>
          <w:tcPr>
            <w:tcW w:type="dxa" w:w="3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Margen EBITDA</w:t>
            </w:r>
          </w:p>
        </w:tc>
        <w:tc>
          <w:tcPr>
            <w:tcW w:type="dxa" w:w="19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12,3%</w:t>
            </w:r>
          </w:p>
        </w:tc>
        <w:tc>
          <w:tcPr>
            <w:tcW w:type="dxa" w:w="19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29,0%</w:t>
            </w:r>
          </w:p>
        </w:tc>
        <w:tc>
          <w:tcPr>
            <w:tcW w:type="dxa" w:w="19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35,8%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EBITDA anual simple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$25,25 M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$109,26 M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$241,10 M</w:t>
            </w:r>
          </w:p>
        </w:tc>
      </w:tr>
      <w:tr>
        <w:trPr>
          <w:cantSplit/>
        </w:trPr>
        <w:tc>
          <w:tcPr>
            <w:tcW w:type="dxa" w:w="3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Recuperación simple sobre $650 M</w:t>
            </w:r>
          </w:p>
        </w:tc>
        <w:tc>
          <w:tcPr>
            <w:tcW w:type="dxa" w:w="19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25,7 años</w:t>
            </w:r>
          </w:p>
        </w:tc>
        <w:tc>
          <w:tcPr>
            <w:tcW w:type="dxa" w:w="19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5,9 años</w:t>
            </w:r>
          </w:p>
        </w:tc>
        <w:tc>
          <w:tcPr>
            <w:tcW w:type="dxa" w:w="19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2,7 años</w:t>
            </w:r>
          </w:p>
        </w:tc>
      </w:tr>
    </w:tbl>
    <w:p>
      <w:pPr>
        <w:spacing w:before="0" w:after="60" w:line="320" w:lineRule="auto"/>
      </w:pPr>
    </w:p>
    <w:p>
      <w:pPr>
        <w:spacing w:before="0" w:after="160" w:line="320" w:lineRule="auto"/>
      </w:pPr>
      <w:r>
        <w:rPr>
          <w:rFonts w:ascii="Calibri" w:hAnsi="Calibri"/>
          <w:b w:val="0"/>
          <w:i/>
          <w:color w:val="626A75"/>
          <w:sz w:val="17"/>
        </w:rPr>
        <w:t>Supuestos de costo variable por lavado: $6.000 / $6.500 / $7.000. Costo de productos vendidos: 60% / 58% / 55% de la venta de tienda. Costos fijos incluyen una aproximación de personal, arriendo, servicios fijos, software, mantenimiento, administración y mercadeo; deben reemplazarse por cifras de la ciudad.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37A3B"/>
          <w:left w:val="single" w:sz="8" w:space="0" w:color="237A3B"/>
          <w:bottom w:val="single" w:sz="8" w:space="0" w:color="237A3B"/>
          <w:right w:val="single" w:sz="8" w:space="0" w:color="237A3B"/>
          <w:insideH w:val="single" w:sz="8" w:space="0" w:color="237A3B"/>
          <w:insideV w:val="single" w:sz="8" w:space="0" w:color="237A3B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6EE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237A3B"/>
                <w:sz w:val="22"/>
              </w:rPr>
              <w:t>Lectura comercial responsable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191D"/>
                <w:sz w:val="21"/>
              </w:rPr>
              <w:t>El escenario de lanzamiento apenas remunera la inversión y demuestra por qué la ubicación y el volumen son críticos. La oportunidad se vuelve atractiva al acercarse a consolidación y puede fortalecerse con una segunda línea, membresías y ventas complementarias. Ningún escenario constituye una promesa ni un resultado histórico.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Indicadores para sustituir con datos reales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Punto de equilibrio en lavadas/mes = costos fijos ÷ contribución por lavada.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Recuperación simple = inversión total ÷ flujo de caja mensual estabilizado.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ROI anual = flujo de caja anual ÷ inversión total.</w:t>
      </w:r>
    </w:p>
    <w:p>
      <w:pPr>
        <w:pStyle w:val="ListBullet"/>
        <w:spacing w:after="80" w:line="290" w:lineRule="auto"/>
      </w:pPr>
      <w:r>
        <w:rPr>
          <w:rFonts w:ascii="Calibri" w:hAnsi="Calibri"/>
          <w:color w:val="17191D"/>
          <w:sz w:val="21"/>
        </w:rPr>
        <w:t>Sensibilidad mínima: volumen, ticket, arriendo, costo químico, energía/agua y tiempo de parada.</w:t>
      </w:r>
    </w:p>
    <w:p>
      <w:pPr>
        <w:keepNext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15</w:t>
      </w:r>
    </w:p>
    <w:p>
      <w:pPr>
        <w:pStyle w:val="Heading1"/>
        <w:keepNext/>
      </w:pPr>
      <w:r>
        <w:t>Información faltante para cerrar cifras definitivas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700"/>
        <w:gridCol w:w="5660"/>
        <w:gridCol w:w="2000"/>
      </w:tblGrid>
      <w:tr>
        <w:trPr>
          <w:tblHeader w:val="true"/>
        </w:trPr>
        <w:tc>
          <w:tcPr>
            <w:tcW w:type="dxa" w:w="17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Frente</w:t>
            </w:r>
          </w:p>
        </w:tc>
        <w:tc>
          <w:tcPr>
            <w:tcW w:type="dxa" w:w="56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Dato requerido</w:t>
            </w:r>
          </w:p>
        </w:tc>
        <w:tc>
          <w:tcPr>
            <w:tcW w:type="dxa" w:w="20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Dueño sugerido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Fabricación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BOM, costos, capacidad, tiempos, vida útil, garantía y proveedores.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Ingeniero Novawash</w:t>
            </w:r>
          </w:p>
        </w:tc>
      </w:tr>
      <w:tr>
        <w:trPr>
          <w:cantSplit/>
        </w:trPr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Montaje</w:t>
            </w:r>
          </w:p>
        </w:tc>
        <w:tc>
          <w:tcPr>
            <w:tcW w:type="dxa" w:w="5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Horas, transporte, viáticos, herramientas, pruebas y aceptación.</w:t>
            </w:r>
          </w:p>
        </w:tc>
        <w:tc>
          <w:tcPr>
            <w:tcW w:type="dxa" w:w="20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Novawash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Obra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Especificaciones de piso, drenaje, cubierta, electricidad e hidráulica.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Ingeniería</w:t>
            </w:r>
          </w:p>
        </w:tc>
      </w:tr>
      <w:tr>
        <w:trPr>
          <w:cantSplit/>
        </w:trPr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Talanquera</w:t>
            </w:r>
          </w:p>
        </w:tc>
        <w:tc>
          <w:tcPr>
            <w:tcW w:type="dxa" w:w="5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Modelo, control, relay/PLC, gateway, seguridad, internet y fallback.</w:t>
            </w:r>
          </w:p>
        </w:tc>
        <w:tc>
          <w:tcPr>
            <w:tcW w:type="dxa" w:w="20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Tecnología/ingeniería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Software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Costo real de hosting, soporte, multiempresa, backups, SLA y roadmap.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Novawash</w:t>
            </w:r>
          </w:p>
        </w:tc>
      </w:tr>
      <w:tr>
        <w:trPr>
          <w:cantSplit/>
        </w:trPr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Legal</w:t>
            </w:r>
          </w:p>
        </w:tc>
        <w:tc>
          <w:tcPr>
            <w:tcW w:type="dxa" w:w="5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Titular de marca, contrato, datos, garantías, consumidor y franquicia.</w:t>
            </w:r>
          </w:p>
        </w:tc>
        <w:tc>
          <w:tcPr>
            <w:tcW w:type="dxa" w:w="20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Abogado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Químicos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Consumo por ciclo, precio, proveedor, almacenamiento y fichas.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Operaciones</w:t>
            </w:r>
          </w:p>
        </w:tc>
      </w:tr>
      <w:tr>
        <w:trPr>
          <w:cantSplit/>
        </w:trPr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Mantenimiento</w:t>
            </w:r>
          </w:p>
        </w:tc>
        <w:tc>
          <w:tcPr>
            <w:tcW w:type="dxa" w:w="5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Frecuencias, repuestos, técnicos, inventario y tarifas.</w:t>
            </w:r>
          </w:p>
        </w:tc>
        <w:tc>
          <w:tcPr>
            <w:tcW w:type="dxa" w:w="20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Ingeniero/operaciones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Mercado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Demanda, competencia, ticket, estacionalidad y conversión.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Comercial</w:t>
            </w:r>
          </w:p>
        </w:tc>
      </w:tr>
      <w:tr>
        <w:trPr>
          <w:cantSplit/>
        </w:trPr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Operación</w:t>
            </w:r>
          </w:p>
        </w:tc>
        <w:tc>
          <w:tcPr>
            <w:tcW w:type="dxa" w:w="5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Personal por turno, tiempos, capacidad máxima y reprocesos.</w:t>
            </w:r>
          </w:p>
        </w:tc>
        <w:tc>
          <w:tcPr>
            <w:tcW w:type="dxa" w:w="20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Operaciones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Finanzas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CAPEX, OPEX, impuestos, financiación, contingencia y capital de trabajo.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Finanzas</w:t>
            </w:r>
          </w:p>
        </w:tc>
      </w:tr>
      <w:tr>
        <w:trPr>
          <w:cantSplit/>
        </w:trPr>
        <w:tc>
          <w:tcPr>
            <w:tcW w:type="dxa" w:w="1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Territorio</w:t>
            </w:r>
          </w:p>
        </w:tc>
        <w:tc>
          <w:tcPr>
            <w:tcW w:type="dxa" w:w="5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Radios, metas, derechos, reservas y excepciones.</w:t>
            </w:r>
          </w:p>
        </w:tc>
        <w:tc>
          <w:tcPr>
            <w:tcW w:type="dxa" w:w="20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Dirección</w:t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Prioridad para salir a vender</w:t>
      </w:r>
    </w:p>
    <w:p>
      <w:pPr>
        <w:pStyle w:val="ListNumber"/>
        <w:spacing w:after="80" w:line="290" w:lineRule="auto"/>
      </w:pPr>
      <w:r>
        <w:rPr>
          <w:rFonts w:ascii="Calibri" w:hAnsi="Calibri"/>
          <w:color w:val="17191D"/>
          <w:sz w:val="21"/>
        </w:rPr>
        <w:t>Cerrar una ficha técnica y lista de materiales por formato.</w:t>
      </w:r>
    </w:p>
    <w:p>
      <w:pPr>
        <w:pStyle w:val="ListNumber"/>
        <w:spacing w:after="80" w:line="290" w:lineRule="auto"/>
      </w:pPr>
      <w:r>
        <w:rPr>
          <w:rFonts w:ascii="Calibri" w:hAnsi="Calibri"/>
          <w:color w:val="17191D"/>
          <w:sz w:val="21"/>
        </w:rPr>
        <w:t>Cotizar al menos dos proveedores por rubro crítico.</w:t>
      </w:r>
    </w:p>
    <w:p>
      <w:pPr>
        <w:pStyle w:val="ListNumber"/>
        <w:spacing w:after="80" w:line="290" w:lineRule="auto"/>
      </w:pPr>
      <w:r>
        <w:rPr>
          <w:rFonts w:ascii="Calibri" w:hAnsi="Calibri"/>
          <w:color w:val="17191D"/>
          <w:sz w:val="21"/>
        </w:rPr>
        <w:t>Definir paquetes, precios, anticipos, garantía y exclusiones.</w:t>
      </w:r>
    </w:p>
    <w:p>
      <w:pPr>
        <w:pStyle w:val="ListNumber"/>
        <w:spacing w:after="80" w:line="290" w:lineRule="auto"/>
      </w:pPr>
      <w:r>
        <w:rPr>
          <w:rFonts w:ascii="Calibri" w:hAnsi="Calibri"/>
          <w:color w:val="17191D"/>
          <w:sz w:val="21"/>
        </w:rPr>
        <w:t>Completar contrato de licencia/tecnología y política territorial.</w:t>
      </w:r>
    </w:p>
    <w:p>
      <w:pPr>
        <w:pStyle w:val="ListNumber"/>
        <w:spacing w:after="80" w:line="290" w:lineRule="auto"/>
      </w:pPr>
      <w:r>
        <w:rPr>
          <w:rFonts w:ascii="Calibri" w:hAnsi="Calibri"/>
          <w:color w:val="17191D"/>
          <w:sz w:val="21"/>
        </w:rPr>
        <w:t>Validar un piloto con medición desde el primer día.</w:t>
      </w: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16</w:t>
      </w:r>
    </w:p>
    <w:p>
      <w:pPr>
        <w:pStyle w:val="Heading1"/>
        <w:keepNext/>
      </w:pPr>
      <w:r>
        <w:t>Riesgos, transparencia y marco contractual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67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Tratamiento comercial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Sin históricos propios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Usar escenarios y supuestos; nunca prometer rentabilidad.</w:t>
            </w:r>
          </w:p>
        </w:tc>
      </w:tr>
      <w:tr>
        <w:trPr>
          <w:cantSplit/>
        </w:trPr>
        <w:tc>
          <w:tcPr>
            <w:tcW w:type="dxa" w:w="2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Socios inversionistas</w:t>
            </w:r>
          </w:p>
        </w:tc>
        <w:tc>
          <w:tcPr>
            <w:tcW w:type="dxa" w:w="67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Estructura legal previa, proyecto identificado, riesgos, reportes, reservas y reglas de salida.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Costos variables por local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Cotizar después de visita e ingeniería.</w:t>
            </w:r>
          </w:p>
        </w:tc>
      </w:tr>
      <w:tr>
        <w:trPr>
          <w:cantSplit/>
        </w:trPr>
        <w:tc>
          <w:tcPr>
            <w:tcW w:type="dxa" w:w="2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Dependencia de terceros</w:t>
            </w:r>
          </w:p>
        </w:tc>
        <w:tc>
          <w:tcPr>
            <w:tcW w:type="dxa" w:w="67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Identificar proveedor, plazo, garantía y reemplazo.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Integración de talanquera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Prueba de seguridad y aceptación antes de operar.</w:t>
            </w:r>
          </w:p>
        </w:tc>
      </w:tr>
      <w:tr>
        <w:trPr>
          <w:cantSplit/>
        </w:trPr>
        <w:tc>
          <w:tcPr>
            <w:tcW w:type="dxa" w:w="2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Protección de datos</w:t>
            </w:r>
          </w:p>
        </w:tc>
        <w:tc>
          <w:tcPr>
            <w:tcW w:type="dxa" w:w="67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Consentimientos, roles, seguridad, retención y contrato.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Caídas de internet/software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Modo contingencia, soporte y registro manual.</w:t>
            </w:r>
          </w:p>
        </w:tc>
      </w:tr>
      <w:tr>
        <w:trPr>
          <w:cantSplit/>
        </w:trPr>
        <w:tc>
          <w:tcPr>
            <w:tcW w:type="dxa" w:w="2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Daño vehicular/accidente</w:t>
            </w:r>
          </w:p>
        </w:tc>
        <w:tc>
          <w:tcPr>
            <w:tcW w:type="dxa" w:w="67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Protocolos, seguros, exclusiones y evidencias.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Marca inconsistente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Manual, auditorías y sanciones progresivas.</w:t>
            </w:r>
          </w:p>
        </w:tc>
      </w:tr>
      <w:tr>
        <w:trPr>
          <w:cantSplit/>
        </w:trPr>
        <w:tc>
          <w:tcPr>
            <w:tcW w:type="dxa" w:w="2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7"/>
              </w:rPr>
              <w:t>Exclusividad prematura</w:t>
            </w:r>
          </w:p>
        </w:tc>
        <w:tc>
          <w:tcPr>
            <w:tcW w:type="dxa" w:w="67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Condicionarla a apertura y desempeño.</w:t>
            </w:r>
          </w:p>
        </w:tc>
      </w:tr>
    </w:tbl>
    <w:p>
      <w:pPr>
        <w:spacing w:before="0" w:after="60" w:line="32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BEC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9B1C1C"/>
                <w:sz w:val="22"/>
              </w:rPr>
              <w:t>Revisión profesional obligatoria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191D"/>
                <w:sz w:val="21"/>
              </w:rPr>
              <w:t>Antes de firmar o recaudar dinero, un abogado colombiano debe revisar propiedad intelectual, licencia/franquicia, protección de datos, consumidor, territorio, garantías, seguros, tributación, pagos y declaraciones financieras. Un ingeniero competente debe aprobar diseño, seguridad y cumplimiento técnico.</w:t>
            </w:r>
          </w:p>
        </w:tc>
      </w:tr>
    </w:tbl>
    <w:p>
      <w:pPr>
        <w:spacing w:before="0" w:after="60" w:line="320" w:lineRule="auto"/>
      </w:pP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17</w:t>
      </w:r>
    </w:p>
    <w:p>
      <w:pPr>
        <w:pStyle w:val="Heading1"/>
        <w:keepNext/>
      </w:pPr>
      <w:r>
        <w:t>Formulario de selección del interesado</w:t>
      </w:r>
    </w:p>
    <w:p>
      <w:pPr>
        <w:spacing w:before="0" w:after="240" w:line="320" w:lineRule="auto"/>
      </w:pPr>
      <w:r>
        <w:rPr>
          <w:rFonts w:ascii="Calibri" w:hAnsi="Calibri"/>
          <w:b w:val="0"/>
          <w:i w:val="0"/>
          <w:color w:val="626A75"/>
          <w:sz w:val="23"/>
        </w:rPr>
        <w:t>Complete esta sección para solicitar una evaluación preliminar. Marcar una opción no reserva territorio ni constituye aceptación.</w:t>
      </w:r>
    </w:p>
    <w:p>
      <w:pPr>
        <w:pStyle w:val="Heading2"/>
        <w:keepNext/>
      </w:pPr>
      <w:r>
        <w:t>A. Modelo de interés</w:t>
      </w:r>
    </w:p>
    <w:p>
      <w:pPr>
        <w:spacing w:before="0" w:after="100" w:line="320" w:lineRule="auto"/>
      </w:pPr>
      <w:r>
        <w:rPr>
          <w:rFonts w:ascii="Calibri" w:hAnsi="Calibri"/>
          <w:b w:val="0"/>
          <w:i w:val="0"/>
          <w:color w:val="17191D"/>
          <w:sz w:val="21"/>
        </w:rPr>
        <w:t>☐ A — Sede Novawash completa / llave en mano</w:t>
      </w:r>
    </w:p>
    <w:p>
      <w:pPr>
        <w:spacing w:before="0" w:after="100" w:line="320" w:lineRule="auto"/>
      </w:pPr>
      <w:r>
        <w:rPr>
          <w:rFonts w:ascii="Calibri" w:hAnsi="Calibri"/>
          <w:b w:val="0"/>
          <w:i w:val="0"/>
          <w:color w:val="17191D"/>
          <w:sz w:val="21"/>
        </w:rPr>
        <w:t>☐ B — Conversión de lavadero existente</w:t>
      </w:r>
    </w:p>
    <w:p>
      <w:pPr>
        <w:spacing w:before="0" w:after="100" w:line="320" w:lineRule="auto"/>
      </w:pPr>
      <w:r>
        <w:rPr>
          <w:rFonts w:ascii="Calibri" w:hAnsi="Calibri"/>
          <w:b w:val="0"/>
          <w:i w:val="0"/>
          <w:color w:val="17191D"/>
          <w:sz w:val="21"/>
        </w:rPr>
        <w:t>☐ C — Socio inversionista de la red Novawash</w:t>
      </w:r>
    </w:p>
    <w:p>
      <w:pPr>
        <w:spacing w:before="0" w:after="100" w:line="320" w:lineRule="auto"/>
      </w:pPr>
      <w:r>
        <w:rPr>
          <w:rFonts w:ascii="Calibri" w:hAnsi="Calibri"/>
          <w:b w:val="0"/>
          <w:i w:val="0"/>
          <w:color w:val="17191D"/>
          <w:sz w:val="21"/>
        </w:rPr>
        <w:t>☐ Quiero que Novawash recomiende el modelo</w:t>
      </w:r>
    </w:p>
    <w:p>
      <w:pPr>
        <w:pStyle w:val="Heading2"/>
        <w:keepNext/>
      </w:pPr>
      <w:r>
        <w:t>B. Datos del interesado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Nombre completo / empresa: </w:t>
      </w:r>
      <w:r>
        <w:rPr>
          <w:rFonts w:ascii="Calibri" w:hAnsi="Calibri"/>
          <w:color w:val="626A75"/>
          <w:sz w:val="20"/>
        </w:rPr>
        <w:t>________________________________________________________________________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Identificación / NIT: </w:t>
      </w:r>
      <w:r>
        <w:rPr>
          <w:rFonts w:ascii="Calibri" w:hAnsi="Calibri"/>
          <w:color w:val="626A75"/>
          <w:sz w:val="20"/>
        </w:rPr>
        <w:t>________________________________________________________________________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Ciudad y país: </w:t>
      </w:r>
      <w:r>
        <w:rPr>
          <w:rFonts w:ascii="Calibri" w:hAnsi="Calibri"/>
          <w:color w:val="626A75"/>
          <w:sz w:val="20"/>
        </w:rPr>
        <w:t>________________________________________________________________________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Teléfono: </w:t>
      </w:r>
      <w:r>
        <w:rPr>
          <w:rFonts w:ascii="Calibri" w:hAnsi="Calibri"/>
          <w:color w:val="626A75"/>
          <w:sz w:val="20"/>
        </w:rPr>
        <w:t>________________________________________________________________________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Correo: </w:t>
      </w:r>
      <w:r>
        <w:rPr>
          <w:rFonts w:ascii="Calibri" w:hAnsi="Calibri"/>
          <w:color w:val="626A75"/>
          <w:sz w:val="20"/>
        </w:rPr>
        <w:t>________________________________________________________________________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Experiencia empresarial u operativa: </w:t>
      </w:r>
      <w:r>
        <w:rPr>
          <w:rFonts w:ascii="Calibri" w:hAnsi="Calibri"/>
          <w:color w:val="626A75"/>
          <w:sz w:val="20"/>
        </w:rPr>
        <w:t>________________________________________________________________________</w:t>
      </w:r>
    </w:p>
    <w:p>
      <w:pPr>
        <w:pStyle w:val="Heading2"/>
        <w:keepNext/>
      </w:pPr>
      <w:r>
        <w:t>C. Ubicación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Dirección o sector: </w:t>
      </w:r>
      <w:r>
        <w:rPr>
          <w:rFonts w:ascii="Calibri" w:hAnsi="Calibri"/>
          <w:color w:val="626A75"/>
          <w:sz w:val="20"/>
        </w:rPr>
        <w:t>________________________________________________________________________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¿Es propio o arrendado?: </w:t>
      </w:r>
      <w:r>
        <w:rPr>
          <w:rFonts w:ascii="Calibri" w:hAnsi="Calibri"/>
          <w:color w:val="626A75"/>
          <w:sz w:val="20"/>
        </w:rPr>
        <w:t>________________________________________________________________________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Área aproximada (m²): </w:t>
      </w:r>
      <w:r>
        <w:rPr>
          <w:rFonts w:ascii="Calibri" w:hAnsi="Calibri"/>
          <w:color w:val="626A75"/>
          <w:sz w:val="20"/>
        </w:rPr>
        <w:t>________________________________________________________________________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Frente y fondo: </w:t>
      </w:r>
      <w:r>
        <w:rPr>
          <w:rFonts w:ascii="Calibri" w:hAnsi="Calibri"/>
          <w:color w:val="626A75"/>
          <w:sz w:val="20"/>
        </w:rPr>
        <w:t>________________________________________________________________________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Uso actual: </w:t>
      </w:r>
      <w:r>
        <w:rPr>
          <w:rFonts w:ascii="Calibri" w:hAnsi="Calibri"/>
          <w:color w:val="626A75"/>
          <w:sz w:val="20"/>
        </w:rPr>
        <w:t>________________________________________________________________________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Enlace de ubicación: </w:t>
      </w:r>
      <w:r>
        <w:rPr>
          <w:rFonts w:ascii="Calibri" w:hAnsi="Calibri"/>
          <w:color w:val="626A75"/>
          <w:sz w:val="20"/>
        </w:rPr>
        <w:t>________________________________________________________________________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Permisos conocidos: </w:t>
      </w:r>
      <w:r>
        <w:rPr>
          <w:rFonts w:ascii="Calibri" w:hAnsi="Calibri"/>
          <w:color w:val="626A75"/>
          <w:sz w:val="20"/>
        </w:rPr>
        <w:t>________________________________________________________________________</w:t>
      </w:r>
    </w:p>
    <w:p>
      <w:pPr>
        <w:pStyle w:val="Heading2"/>
        <w:keepNext/>
      </w:pPr>
      <w:r>
        <w:t>D. Capital y plazo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3100"/>
        <w:gridCol w:w="800"/>
        <w:gridCol w:w="4660"/>
        <w:gridCol w:w="800"/>
      </w:tblGrid>
      <w:tr>
        <w:trPr>
          <w:tblHeader w:val="true"/>
        </w:trPr>
        <w:tc>
          <w:tcPr>
            <w:tcW w:type="dxa" w:w="31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Capital disponible</w:t>
            </w:r>
          </w:p>
        </w:tc>
        <w:tc>
          <w:tcPr>
            <w:tcW w:type="dxa" w:w="8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Marque</w:t>
            </w:r>
          </w:p>
        </w:tc>
        <w:tc>
          <w:tcPr>
            <w:tcW w:type="dxa" w:w="46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Horizonte para iniciar</w:t>
            </w:r>
          </w:p>
        </w:tc>
        <w:tc>
          <w:tcPr>
            <w:tcW w:type="dxa" w:w="8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Marque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$25–50 M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☐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0–3 meses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1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$50–100 M</w:t>
            </w:r>
          </w:p>
        </w:tc>
        <w:tc>
          <w:tcPr>
            <w:tcW w:type="dxa" w:w="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☐</w:t>
            </w:r>
          </w:p>
        </w:tc>
        <w:tc>
          <w:tcPr>
            <w:tcW w:type="dxa" w:w="4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3–6 meses</w:t>
            </w:r>
          </w:p>
        </w:tc>
        <w:tc>
          <w:tcPr>
            <w:tcW w:type="dxa" w:w="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$100–300 M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☐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6–12 meses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1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Más de $300 M</w:t>
            </w:r>
          </w:p>
        </w:tc>
        <w:tc>
          <w:tcPr>
            <w:tcW w:type="dxa" w:w="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☐</w:t>
            </w:r>
          </w:p>
        </w:tc>
        <w:tc>
          <w:tcPr>
            <w:tcW w:type="dxa" w:w="4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Más de 12 meses</w:t>
            </w:r>
          </w:p>
        </w:tc>
        <w:tc>
          <w:tcPr>
            <w:tcW w:type="dxa" w:w="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Por definir / financiación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☐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Estoy explorando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8"/>
              </w:rPr>
              <w:t>☐</w:t>
            </w:r>
          </w:p>
        </w:tc>
      </w:tr>
    </w:tbl>
    <w:p>
      <w:pPr>
        <w:spacing w:before="0" w:after="60" w:line="320" w:lineRule="auto"/>
      </w:pPr>
    </w:p>
    <w:p>
      <w:pPr>
        <w:keepNext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18</w:t>
      </w:r>
    </w:p>
    <w:p>
      <w:pPr>
        <w:pStyle w:val="Heading1"/>
        <w:keepNext/>
      </w:pPr>
      <w:r>
        <w:t>Formulario técnico y comercial</w:t>
      </w:r>
    </w:p>
    <w:p>
      <w:pPr>
        <w:pStyle w:val="Heading2"/>
        <w:keepNext/>
      </w:pPr>
      <w:r>
        <w:t>E. Si ya existe un lavadero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Años de operación: </w:t>
      </w:r>
      <w:r>
        <w:rPr>
          <w:rFonts w:ascii="Calibri" w:hAnsi="Calibri"/>
          <w:color w:val="626A75"/>
          <w:sz w:val="20"/>
        </w:rPr>
        <w:t>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Vehículos promedio por día: </w:t>
      </w:r>
      <w:r>
        <w:rPr>
          <w:rFonts w:ascii="Calibri" w:hAnsi="Calibri"/>
          <w:color w:val="626A75"/>
          <w:sz w:val="20"/>
        </w:rPr>
        <w:t>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Ticket promedio: </w:t>
      </w:r>
      <w:r>
        <w:rPr>
          <w:rFonts w:ascii="Calibri" w:hAnsi="Calibri"/>
          <w:color w:val="626A75"/>
          <w:sz w:val="20"/>
        </w:rPr>
        <w:t>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Número de empleados: </w:t>
      </w:r>
      <w:r>
        <w:rPr>
          <w:rFonts w:ascii="Calibri" w:hAnsi="Calibri"/>
          <w:color w:val="626A75"/>
          <w:sz w:val="20"/>
        </w:rPr>
        <w:t>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Equipos existentes y antigüedad: </w:t>
      </w:r>
      <w:r>
        <w:rPr>
          <w:rFonts w:ascii="Calibri" w:hAnsi="Calibri"/>
          <w:color w:val="626A75"/>
          <w:sz w:val="20"/>
        </w:rPr>
        <w:t>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Consumo mensual de agua/energía: </w:t>
      </w:r>
      <w:r>
        <w:rPr>
          <w:rFonts w:ascii="Calibri" w:hAnsi="Calibri"/>
          <w:color w:val="626A75"/>
          <w:sz w:val="20"/>
        </w:rPr>
        <w:t>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Ventas mensuales aproximadas: </w:t>
      </w:r>
      <w:r>
        <w:rPr>
          <w:rFonts w:ascii="Calibri" w:hAnsi="Calibri"/>
          <w:color w:val="626A75"/>
          <w:sz w:val="20"/>
        </w:rPr>
        <w:t>____________________________________________________________________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Principales problemas actuales: </w:t>
      </w:r>
      <w:r>
        <w:rPr>
          <w:rFonts w:ascii="Calibri" w:hAnsi="Calibri"/>
          <w:color w:val="626A75"/>
          <w:sz w:val="20"/>
        </w:rPr>
        <w:t>____________________________________________________________________</w:t>
      </w:r>
    </w:p>
    <w:p>
      <w:pPr>
        <w:pStyle w:val="Heading2"/>
        <w:keepNext/>
      </w:pPr>
      <w:r>
        <w:t>F. Servicios e infraestructura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3600"/>
        <w:gridCol w:w="800"/>
        <w:gridCol w:w="800"/>
        <w:gridCol w:w="4160"/>
      </w:tblGrid>
      <w:tr>
        <w:trPr>
          <w:tblHeader w:val="true"/>
        </w:trPr>
        <w:tc>
          <w:tcPr>
            <w:tcW w:type="dxa" w:w="36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8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Sí</w:t>
            </w:r>
          </w:p>
        </w:tc>
        <w:tc>
          <w:tcPr>
            <w:tcW w:type="dxa" w:w="8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No</w:t>
            </w:r>
          </w:p>
        </w:tc>
        <w:tc>
          <w:tcPr>
            <w:tcW w:type="dxa" w:w="41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Acueducto estable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</w:r>
          </w:p>
        </w:tc>
      </w:tr>
      <w:tr>
        <w:trPr>
          <w:cantSplit/>
        </w:trPr>
        <w:tc>
          <w:tcPr>
            <w:tcW w:type="dxa" w:w="3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Drenajes funcionales</w:t>
            </w:r>
          </w:p>
        </w:tc>
        <w:tc>
          <w:tcPr>
            <w:tcW w:type="dxa" w:w="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41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Tratamiento/recirculación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</w:r>
          </w:p>
        </w:tc>
      </w:tr>
      <w:tr>
        <w:trPr>
          <w:cantSplit/>
        </w:trPr>
        <w:tc>
          <w:tcPr>
            <w:tcW w:type="dxa" w:w="3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Energía trifásica</w:t>
            </w:r>
          </w:p>
        </w:tc>
        <w:tc>
          <w:tcPr>
            <w:tcW w:type="dxa" w:w="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41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Internet estable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</w:r>
          </w:p>
        </w:tc>
      </w:tr>
      <w:tr>
        <w:trPr>
          <w:cantSplit/>
        </w:trPr>
        <w:tc>
          <w:tcPr>
            <w:tcW w:type="dxa" w:w="3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Espacio de espera vehicular</w:t>
            </w:r>
          </w:p>
        </w:tc>
        <w:tc>
          <w:tcPr>
            <w:tcW w:type="dxa" w:w="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41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Licencia/uso de suelo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</w:r>
          </w:p>
        </w:tc>
      </w:tr>
      <w:tr>
        <w:trPr>
          <w:cantSplit/>
        </w:trPr>
        <w:tc>
          <w:tcPr>
            <w:tcW w:type="dxa" w:w="3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Planos o medidas</w:t>
            </w:r>
          </w:p>
        </w:tc>
        <w:tc>
          <w:tcPr>
            <w:tcW w:type="dxa" w:w="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8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  <w:t>☐</w:t>
            </w:r>
          </w:p>
        </w:tc>
        <w:tc>
          <w:tcPr>
            <w:tcW w:type="dxa" w:w="41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7"/>
              </w:rPr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G. Objetivos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¿Por qué le interesa Novawash?: </w:t>
      </w:r>
      <w:r>
        <w:rPr>
          <w:rFonts w:ascii="Calibri" w:hAnsi="Calibri"/>
          <w:color w:val="626A75"/>
          <w:sz w:val="20"/>
        </w:rPr>
        <w:t>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¿Qué espera que entregue Novawash?: </w:t>
      </w:r>
      <w:r>
        <w:rPr>
          <w:rFonts w:ascii="Calibri" w:hAnsi="Calibri"/>
          <w:color w:val="626A75"/>
          <w:sz w:val="20"/>
        </w:rPr>
        <w:t>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¿Qué aportaría usted además del capital?: </w:t>
      </w:r>
      <w:r>
        <w:rPr>
          <w:rFonts w:ascii="Calibri" w:hAnsi="Calibri"/>
          <w:color w:val="626A75"/>
          <w:sz w:val="20"/>
        </w:rPr>
        <w:t>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Si eligió Modelo C: aporte previsto y horizonte de inversión: </w:t>
      </w:r>
      <w:r>
        <w:rPr>
          <w:rFonts w:ascii="Calibri" w:hAnsi="Calibri"/>
          <w:color w:val="626A75"/>
          <w:sz w:val="20"/>
        </w:rPr>
        <w:t>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¿Desea exclusividad? ¿Para qué zona?: </w:t>
      </w:r>
      <w:r>
        <w:rPr>
          <w:rFonts w:ascii="Calibri" w:hAnsi="Calibri"/>
          <w:color w:val="626A75"/>
          <w:sz w:val="20"/>
        </w:rPr>
        <w:t>__________________________________________________________________</w:t>
      </w:r>
    </w:p>
    <w:p>
      <w:pPr>
        <w:spacing w:after="140"/>
        <w:jc w:val="left"/>
      </w:pPr>
      <w:r>
        <w:rPr>
          <w:rFonts w:ascii="Calibri" w:hAnsi="Calibri"/>
          <w:b/>
          <w:color w:val="20242C"/>
          <w:sz w:val="20"/>
        </w:rPr>
        <w:t xml:space="preserve">Comentarios y preguntas: </w:t>
      </w:r>
      <w:r>
        <w:rPr>
          <w:rFonts w:ascii="Calibri" w:hAnsi="Calibri"/>
          <w:color w:val="626A75"/>
          <w:sz w:val="20"/>
        </w:rPr>
        <w:t>__________________________________________________________________</w:t>
      </w:r>
    </w:p>
    <w:p>
      <w:pPr>
        <w:spacing w:before="0" w:after="280" w:line="32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37A3B"/>
          <w:left w:val="single" w:sz="8" w:space="0" w:color="237A3B"/>
          <w:bottom w:val="single" w:sz="8" w:space="0" w:color="237A3B"/>
          <w:right w:val="single" w:sz="8" w:space="0" w:color="237A3B"/>
          <w:insideH w:val="single" w:sz="8" w:space="0" w:color="237A3B"/>
          <w:insideV w:val="single" w:sz="8" w:space="0" w:color="237A3B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6EE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237A3B"/>
                <w:sz w:val="22"/>
              </w:rPr>
              <w:t>Siguiente paso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191D"/>
                <w:sz w:val="21"/>
              </w:rPr>
              <w:t>Enviar este formulario con fotos, video, medidas y ubicación. Novawash confirmará si procede una llamada de calificación, una prefactibilidad documental o una visita técnica cotizada.</w:t>
            </w:r>
          </w:p>
        </w:tc>
      </w:tr>
    </w:tbl>
    <w:p>
      <w:pPr>
        <w:spacing w:before="0" w:after="60" w:line="320" w:lineRule="auto"/>
      </w:pP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ANEXO A</w:t>
      </w:r>
    </w:p>
    <w:p>
      <w:pPr>
        <w:pStyle w:val="Heading1"/>
        <w:keepNext/>
      </w:pPr>
      <w:r>
        <w:t>Ficha de cotización por sede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500"/>
        <w:gridCol w:w="900"/>
        <w:gridCol w:w="900"/>
        <w:gridCol w:w="2700"/>
        <w:gridCol w:w="900"/>
        <w:gridCol w:w="1460"/>
      </w:tblGrid>
      <w:tr>
        <w:trPr>
          <w:tblHeader w:val="true"/>
        </w:trPr>
        <w:tc>
          <w:tcPr>
            <w:tcW w:type="dxa" w:w="25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Ítem</w:t>
            </w:r>
          </w:p>
        </w:tc>
        <w:tc>
          <w:tcPr>
            <w:tcW w:type="dxa" w:w="9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Cantidad</w:t>
            </w:r>
          </w:p>
        </w:tc>
        <w:tc>
          <w:tcPr>
            <w:tcW w:type="dxa" w:w="9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Unidad</w:t>
            </w:r>
          </w:p>
        </w:tc>
        <w:tc>
          <w:tcPr>
            <w:tcW w:type="dxa" w:w="27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Especificación</w:t>
            </w:r>
          </w:p>
        </w:tc>
        <w:tc>
          <w:tcPr>
            <w:tcW w:type="dxa" w:w="9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Incluido</w:t>
            </w:r>
          </w:p>
        </w:tc>
        <w:tc>
          <w:tcPr>
            <w:tcW w:type="dxa" w:w="14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Valor COP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Estudio e ingeniería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Licencia inicial</w:t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Maquinaria principal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Bombas/hidrolavado</w:t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Talanquera y control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Lector QR / hardware</w:t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Obra civil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Hidráulica</w:t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Electricidad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Tratamiento/reciclaje</w:t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Software / activación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Capacitación</w:t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Imagen y señalización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Químicos iniciales</w:t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Repuestos iniciales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Transporte/viáticos</w:t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Contingencia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☐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</w:r>
          </w:p>
        </w:tc>
      </w:tr>
    </w:tbl>
    <w:p>
      <w:pPr>
        <w:spacing w:before="0" w:after="60" w:line="320" w:lineRule="auto"/>
      </w:pPr>
    </w:p>
    <w:p>
      <w:pPr>
        <w:spacing w:before="0" w:after="240" w:line="320" w:lineRule="auto"/>
      </w:pPr>
      <w:r>
        <w:rPr>
          <w:rFonts w:ascii="Calibri" w:hAnsi="Calibri"/>
          <w:b/>
          <w:i w:val="0"/>
          <w:color w:val="20242C"/>
          <w:sz w:val="20"/>
        </w:rPr>
        <w:t>Subtotal: __________________  |  Impuestos: __________________  |  Total inversión: __________________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7191D"/>
          <w:sz w:val="20"/>
        </w:rPr>
        <w:t>Forma de pago: ______________________________________________________________________________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7191D"/>
          <w:sz w:val="20"/>
        </w:rPr>
        <w:t>Vigencia: __________________  |  Plazo estimado: __________________  |  Garantía: __________________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7191D"/>
          <w:sz w:val="20"/>
        </w:rPr>
        <w:t>Exclusiones: __________________________________________________________________________________</w:t>
      </w:r>
    </w:p>
    <w:p>
      <w:pPr>
        <w:keepNext/>
        <w:pageBreakBefore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ANEXO B</w:t>
      </w:r>
    </w:p>
    <w:p>
      <w:pPr>
        <w:pStyle w:val="Heading1"/>
        <w:keepNext/>
      </w:pPr>
      <w:r>
        <w:t>Ficha de cargos recurrentes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550"/>
        <w:gridCol w:w="1600"/>
        <w:gridCol w:w="1350"/>
        <w:gridCol w:w="1300"/>
        <w:gridCol w:w="1660"/>
      </w:tblGrid>
      <w:tr>
        <w:trPr>
          <w:tblHeader w:val="true"/>
        </w:trPr>
        <w:tc>
          <w:tcPr>
            <w:tcW w:type="dxa" w:w="19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155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Base</w:t>
            </w:r>
          </w:p>
        </w:tc>
        <w:tc>
          <w:tcPr>
            <w:tcW w:type="dxa" w:w="16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Periodicidad</w:t>
            </w:r>
          </w:p>
        </w:tc>
        <w:tc>
          <w:tcPr>
            <w:tcW w:type="dxa" w:w="135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Tarifa</w:t>
            </w:r>
          </w:p>
        </w:tc>
        <w:tc>
          <w:tcPr>
            <w:tcW w:type="dxa" w:w="13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Indexación</w:t>
            </w:r>
          </w:p>
        </w:tc>
        <w:tc>
          <w:tcPr>
            <w:tcW w:type="dxa" w:w="166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Observaciones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Software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Por sede/módulo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Mensual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</w:tr>
      <w:tr>
        <w:trPr>
          <w:cantSplit/>
        </w:trPr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Soporte</w:t>
            </w:r>
          </w:p>
        </w:tc>
        <w:tc>
          <w:tcPr>
            <w:tcW w:type="dxa" w:w="15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Por plan</w:t>
            </w:r>
          </w:p>
        </w:tc>
        <w:tc>
          <w:tcPr>
            <w:tcW w:type="dxa" w:w="1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Mensual/anual</w:t>
            </w:r>
          </w:p>
        </w:tc>
        <w:tc>
          <w:tcPr>
            <w:tcW w:type="dxa" w:w="13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3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Licencia de marca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Fija o %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Mensual/anual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</w:tr>
      <w:tr>
        <w:trPr>
          <w:cantSplit/>
        </w:trPr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Mantenimiento</w:t>
            </w:r>
          </w:p>
        </w:tc>
        <w:tc>
          <w:tcPr>
            <w:tcW w:type="dxa" w:w="15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Por equipos</w:t>
            </w:r>
          </w:p>
        </w:tc>
        <w:tc>
          <w:tcPr>
            <w:tcW w:type="dxa" w:w="1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Mensual/trimestral</w:t>
            </w:r>
          </w:p>
        </w:tc>
        <w:tc>
          <w:tcPr>
            <w:tcW w:type="dxa" w:w="13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3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Químicos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Por consumo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Pedido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</w:tr>
      <w:tr>
        <w:trPr>
          <w:cantSplit/>
        </w:trPr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Repuestos</w:t>
            </w:r>
          </w:p>
        </w:tc>
        <w:tc>
          <w:tcPr>
            <w:tcW w:type="dxa" w:w="15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Por evento/stock</w:t>
            </w:r>
          </w:p>
        </w:tc>
        <w:tc>
          <w:tcPr>
            <w:tcW w:type="dxa" w:w="1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Pedido</w:t>
            </w:r>
          </w:p>
        </w:tc>
        <w:tc>
          <w:tcPr>
            <w:tcW w:type="dxa" w:w="13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3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Café y bebidas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Por consumo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Pedido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</w:tr>
      <w:tr>
        <w:trPr>
          <w:cantSplit/>
        </w:trPr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Accesorios para vehículos</w:t>
            </w:r>
          </w:p>
        </w:tc>
        <w:tc>
          <w:tcPr>
            <w:tcW w:type="dxa" w:w="15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Por consumo</w:t>
            </w:r>
          </w:p>
        </w:tc>
        <w:tc>
          <w:tcPr>
            <w:tcW w:type="dxa" w:w="1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Pedido</w:t>
            </w:r>
          </w:p>
        </w:tc>
        <w:tc>
          <w:tcPr>
            <w:tcW w:type="dxa" w:w="13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3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Administración de sede de red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Fija o %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Mensual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</w:tr>
      <w:tr>
        <w:trPr>
          <w:cantSplit/>
        </w:trPr>
        <w:tc>
          <w:tcPr>
            <w:tcW w:type="dxa" w:w="1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Marketing de red</w:t>
            </w:r>
          </w:p>
        </w:tc>
        <w:tc>
          <w:tcPr>
            <w:tcW w:type="dxa" w:w="15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Fijo o %</w:t>
            </w:r>
          </w:p>
        </w:tc>
        <w:tc>
          <w:tcPr>
            <w:tcW w:type="dxa" w:w="16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Mensual</w:t>
            </w:r>
          </w:p>
        </w:tc>
        <w:tc>
          <w:tcPr>
            <w:tcW w:type="dxa" w:w="135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3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66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6"/>
              </w:rPr>
              <w:t>Pasarela de pago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% + fijo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  <w:t>Transacción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6"/>
              </w:rPr>
            </w:r>
          </w:p>
        </w:tc>
      </w:tr>
    </w:tbl>
    <w:p>
      <w:pPr>
        <w:spacing w:before="0" w:after="60" w:line="320" w:lineRule="auto"/>
      </w:pPr>
    </w:p>
    <w:p>
      <w:pPr>
        <w:pStyle w:val="Heading2"/>
        <w:keepNext/>
      </w:pPr>
      <w:r>
        <w:t>Datos de contacto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jc w:val="left"/>
            </w:pPr>
            <w:r>
              <w:rPr>
                <w:rFonts w:ascii="Calibri" w:hAnsi="Calibri"/>
                <w:b/>
                <w:color w:val="20242C"/>
                <w:sz w:val="19"/>
              </w:rPr>
              <w:t>Web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191D"/>
                <w:sz w:val="19"/>
              </w:rPr>
              <w:t>novawash.com.co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jc w:val="left"/>
            </w:pPr>
            <w:r>
              <w:rPr>
                <w:rFonts w:ascii="Calibri" w:hAnsi="Calibri"/>
                <w:b/>
                <w:color w:val="20242C"/>
                <w:sz w:val="19"/>
              </w:rPr>
              <w:t>Correo publicado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191D"/>
                <w:sz w:val="19"/>
              </w:rPr>
              <w:t>info@novawash.com.co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jc w:val="left"/>
            </w:pPr>
            <w:r>
              <w:rPr>
                <w:rFonts w:ascii="Calibri" w:hAnsi="Calibri"/>
                <w:b/>
                <w:color w:val="20242C"/>
                <w:sz w:val="19"/>
              </w:rPr>
              <w:t>Teléfono publicado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191D"/>
                <w:sz w:val="19"/>
              </w:rPr>
              <w:t>304 604 0723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jc w:val="left"/>
            </w:pPr>
            <w:r>
              <w:rPr>
                <w:rFonts w:ascii="Calibri" w:hAnsi="Calibri"/>
                <w:b/>
                <w:color w:val="20242C"/>
                <w:sz w:val="19"/>
              </w:rPr>
              <w:t>Ubicación publicada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191D"/>
                <w:sz w:val="19"/>
              </w:rPr>
              <w:t>Cra. 7D #145-51, Cedritos, Bogotá — confirmar disponibilidad antes de presentar.</w:t>
            </w:r>
          </w:p>
        </w:tc>
      </w:tr>
    </w:tbl>
    <w:p>
      <w:pPr>
        <w:spacing w:before="0" w:after="200" w:line="32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6A1A"/>
          <w:left w:val="single" w:sz="8" w:space="0" w:color="FF6A1A"/>
          <w:bottom w:val="single" w:sz="8" w:space="0" w:color="FF6A1A"/>
          <w:right w:val="single" w:sz="8" w:space="0" w:color="FF6A1A"/>
          <w:insideH w:val="single" w:sz="8" w:space="0" w:color="FF6A1A"/>
          <w:insideV w:val="single" w:sz="8" w:space="0" w:color="FF6A1A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0E7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6A1A"/>
                <w:sz w:val="22"/>
              </w:rPr>
              <w:t>Aviso final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191D"/>
                <w:sz w:val="21"/>
              </w:rPr>
              <w:t>Los precios al consumidor incluidos en este documento provienen del proyecto actual. Los rangos de inversión son estimaciones comerciales preliminares y deben reemplazarse mediante cotización e ingeniería. No se ofrecen garantías de ventas, utilidad, EBITDA, retorno ni recuperación de inversión.</w:t>
            </w:r>
          </w:p>
        </w:tc>
      </w:tr>
    </w:tbl>
    <w:p>
      <w:pPr>
        <w:spacing w:before="0" w:after="60" w:line="320" w:lineRule="auto"/>
      </w:pPr>
    </w:p>
    <w:p>
      <w:pPr>
        <w:keepNext/>
        <w:spacing w:before="0" w:after="40" w:line="320" w:lineRule="auto"/>
      </w:pPr>
      <w:r>
        <w:rPr>
          <w:rFonts w:ascii="Calibri" w:hAnsi="Calibri"/>
          <w:b/>
          <w:i w:val="0"/>
          <w:color w:val="FF6A1A"/>
          <w:sz w:val="18"/>
        </w:rPr>
        <w:t>ANEXO C</w:t>
      </w:r>
    </w:p>
    <w:p>
      <w:pPr>
        <w:pStyle w:val="Heading1"/>
        <w:keepNext/>
      </w:pPr>
      <w:r>
        <w:t>Fuentes y criterios de referencia</w:t>
      </w:r>
    </w:p>
    <w:p>
      <w:pPr>
        <w:spacing w:before="0" w:after="240" w:line="320" w:lineRule="auto"/>
      </w:pPr>
      <w:r>
        <w:rPr>
          <w:rFonts w:ascii="Calibri" w:hAnsi="Calibri"/>
          <w:b w:val="0"/>
          <w:i w:val="0"/>
          <w:color w:val="626A75"/>
          <w:sz w:val="23"/>
        </w:rPr>
        <w:t>Referencias públicas consultadas para orientar los rangos; no sustituyen cotizaciones ni asesoría profesional.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900"/>
        <w:gridCol w:w="4070"/>
        <w:gridCol w:w="2390"/>
      </w:tblGrid>
      <w:tr>
        <w:trPr>
          <w:tblHeader w:val="true"/>
        </w:trPr>
        <w:tc>
          <w:tcPr>
            <w:tcW w:type="dxa" w:w="290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Referencia</w:t>
            </w:r>
          </w:p>
        </w:tc>
        <w:tc>
          <w:tcPr>
            <w:tcW w:type="dxa" w:w="407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Uso en el documento</w:t>
            </w:r>
          </w:p>
        </w:tc>
        <w:tc>
          <w:tcPr>
            <w:tcW w:type="dxa" w:w="2390"/>
            <w:shd w:fill="20242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Consulta</w:t>
            </w:r>
          </w:p>
        </w:tc>
      </w:tr>
      <w:tr>
        <w:trPr>
          <w:cantSplit/>
        </w:trP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Superintendencia Financiera de Colombia — financiación colaborativa</w:t>
            </w:r>
          </w:p>
        </w:tc>
        <w:tc>
          <w:tcPr>
            <w:tcW w:type="dxa" w:w="40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Advertencia sobre valores, entidades autorizadas y estructuración del Modelo C.</w:t>
            </w:r>
          </w:p>
        </w:tc>
        <w:tc>
          <w:tcPr>
            <w:tcW w:type="dxa" w:w="23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superfinanciera.gov.co/publicaciones/10115001</w:t>
            </w:r>
          </w:p>
        </w:tc>
      </w:tr>
      <w:tr>
        <w:trPr>
          <w:cantSplit/>
        </w:trPr>
        <w:tc>
          <w:tcPr>
            <w:tcW w:type="dxa" w:w="2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Superintendencia Financiera — Decreto 1357 de 2018</w:t>
            </w:r>
          </w:p>
        </w:tc>
        <w:tc>
          <w:tcPr>
            <w:tcW w:type="dxa" w:w="407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Marco general cuando la financiación colaborativa se instrumenta mediante valores.</w:t>
            </w:r>
          </w:p>
        </w:tc>
        <w:tc>
          <w:tcPr>
            <w:tcW w:type="dxa" w:w="239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superfinanciera.gov.co/publicaciones/10099002</w:t>
            </w:r>
          </w:p>
        </w:tc>
      </w:tr>
      <w:tr>
        <w:trPr>
          <w:cantSplit/>
        </w:trP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Superintendencia Financiera — esquemas de captación ilegal</w:t>
            </w:r>
          </w:p>
        </w:tc>
        <w:tc>
          <w:tcPr>
            <w:tcW w:type="dxa" w:w="40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Control previo antes de recaudar dinero de múltiples inversionistas.</w:t>
            </w:r>
          </w:p>
        </w:tc>
        <w:tc>
          <w:tcPr>
            <w:tcW w:type="dxa" w:w="23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superfinanciera.gov.co/publicaciones/10115321</w:t>
            </w:r>
          </w:p>
        </w:tc>
      </w:tr>
      <w:tr>
        <w:trPr>
          <w:cantSplit/>
        </w:trPr>
        <w:tc>
          <w:tcPr>
            <w:tcW w:type="dxa" w:w="2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Mercado colombiano de talanqueras</w:t>
            </w:r>
          </w:p>
        </w:tc>
        <w:tc>
          <w:tcPr>
            <w:tcW w:type="dxa" w:w="407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Contraste de precio unitario; la instalación e integración se cotizan aparte.</w:t>
            </w:r>
          </w:p>
        </w:tc>
        <w:tc>
          <w:tcPr>
            <w:tcW w:type="dxa" w:w="239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talanquerasvehiculares.com</w:t>
            </w:r>
          </w:p>
        </w:tc>
      </w:tr>
      <w:tr>
        <w:trPr>
          <w:cantSplit/>
        </w:trP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Homecenter Colombia — hidrolavadoras industriales</w:t>
            </w:r>
          </w:p>
        </w:tc>
        <w:tc>
          <w:tcPr>
            <w:tcW w:type="dxa" w:w="40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Contraste de equipos comerciales de presión.</w:t>
            </w:r>
          </w:p>
        </w:tc>
        <w:tc>
          <w:tcPr>
            <w:tcW w:type="dxa" w:w="23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homecenter.com.co/homecenter-co/k/hidrolavadora-industrial</w:t>
            </w:r>
          </w:p>
        </w:tc>
      </w:tr>
      <w:tr>
        <w:trPr>
          <w:cantSplit/>
        </w:trPr>
        <w:tc>
          <w:tcPr>
            <w:tcW w:type="dxa" w:w="290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Proveedor colombiano de aspiradoras industriales</w:t>
            </w:r>
          </w:p>
        </w:tc>
        <w:tc>
          <w:tcPr>
            <w:tcW w:type="dxa" w:w="407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Contraste de aspirado húmedo/seco.</w:t>
            </w:r>
          </w:p>
        </w:tc>
        <w:tc>
          <w:tcPr>
            <w:tcW w:type="dxa" w:w="2390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hidrolavadorasindustriales.com.co</w:t>
            </w:r>
          </w:p>
        </w:tc>
      </w:tr>
      <w:tr>
        <w:trPr>
          <w:cantSplit/>
        </w:trP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/>
                <w:color w:val="17191D"/>
                <w:sz w:val="15"/>
              </w:rPr>
              <w:t>Observatorio Ambiental de Bogotá</w:t>
            </w:r>
          </w:p>
        </w:tc>
        <w:tc>
          <w:tcPr>
            <w:tcW w:type="dxa" w:w="40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Importancia de recirculación, vertimientos y requisitos ambientales.</w:t>
            </w:r>
          </w:p>
        </w:tc>
        <w:tc>
          <w:tcPr>
            <w:tcW w:type="dxa" w:w="23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/>
                <w:b w:val="0"/>
                <w:color w:val="17191D"/>
                <w:sz w:val="15"/>
              </w:rPr>
              <w:t>oab.ambientebogota.gov.co</w:t>
            </w:r>
          </w:p>
        </w:tc>
      </w:tr>
    </w:tbl>
    <w:p>
      <w:pPr>
        <w:spacing w:before="0" w:after="60" w:line="32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0242C"/>
          <w:left w:val="single" w:sz="8" w:space="0" w:color="20242C"/>
          <w:bottom w:val="single" w:sz="8" w:space="0" w:color="20242C"/>
          <w:right w:val="single" w:sz="8" w:space="0" w:color="20242C"/>
          <w:insideH w:val="single" w:sz="8" w:space="0" w:color="20242C"/>
          <w:insideV w:val="single" w:sz="8" w:space="0" w:color="20242C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20242C"/>
                <w:sz w:val="22"/>
              </w:rPr>
              <w:t>Criterio de construcción de costos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191D"/>
                <w:sz w:val="21"/>
              </w:rPr>
              <w:t>Los valores de mercado de equipos aislados se usaron solo como control de razonabilidad. El presupuesto Novawash agrega diseño, fabricación e integración, tratamiento de agua, obra, redes, automatización, marca, cafetería, tienda, montaje, apertura y contingencia.</w:t>
            </w:r>
          </w:p>
        </w:tc>
      </w:tr>
    </w:tbl>
    <w:p>
      <w:pPr>
        <w:spacing w:before="0" w:after="60" w:line="32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26A75"/>
        <w:sz w:val="16"/>
      </w:rPr>
      <w:t xml:space="preserve">Documento de estructuración — no constituye oferta vinculante | Página </w:t>
    </w:r>
    <w:r>
      <w:rPr>
        <w:rFonts w:ascii="Calibri" w:hAnsi="Calibri"/>
        <w:color w:val="626A75"/>
        <w:sz w:val="17"/>
      </w:rPr>
      <w:fldChar w:fldCharType="begin"/>
      <w:instrText xml:space="preserve">PAGE</w:instrText>
      <w:fldChar w:fldCharType="end"/>
    </w:r>
    <w:r>
      <w:rPr>
        <w:rFonts w:ascii="Calibri" w:hAnsi="Calibri"/>
        <w:color w:val="626A75"/>
        <w:sz w:val="16"/>
      </w:rPr>
      <w:t xml:space="preserve"> de </w:t>
    </w:r>
    <w:r>
      <w:rPr>
        <w:rFonts w:ascii="Calibri" w:hAnsi="Calibri"/>
        <w:color w:val="626A75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752"/>
      <w:gridCol w:w="4608"/>
    </w:tblGrid>
    <w:t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r/>
          <w:r>
            <w:rPr>
              <w:rFonts w:ascii="Calibri" w:hAnsi="Calibri"/>
              <w:b/>
              <w:color w:val="FF6A1A"/>
              <w:sz w:val="17"/>
            </w:rPr>
            <w:t>NOVAWASH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/>
          <w:r>
            <w:rPr>
              <w:rFonts w:ascii="Calibri" w:hAnsi="Calibri"/>
              <w:color w:val="626A75"/>
              <w:sz w:val="16"/>
            </w:rPr>
            <w:t>Dossier comercial editable | Estructuración</w:t>
          </w:r>
        </w:p>
      </w:tc>
    </w:tr>
  </w:tbl>
  <w:p>
    <w:pPr>
      <w:spacing w:after="0"/>
      <w:pBdr>
        <w:bottom w:val="single" w:sz="6" w:space="1" w:color="D7DDE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color w:val="1719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FF6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FF6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024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8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90" w:lineRule="auto"/>
      <w:ind w:left="900" w:hanging="280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8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Novawash — Modelos de inversión y operación</dc:title>
  <dc:subject>Dossier comercial editable para potenciales inversionistas y operadores</dc:subject>
  <dc:creator>Novawash</dc:creator>
  <cp:keywords>Novawash, lavadero automatizado, licencia, tecnología, inversión, software</cp:keywords>
  <dc:description>Documento de estructuración; cifras por validar.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