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  <w:jc w:val="center"/>
      </w:pPr>
      <w:r>
        <w:rPr>
          <w:rFonts w:ascii="Calibri" w:hAnsi="Calibri"/>
          <w:b/>
          <w:color w:val="FF6A1A"/>
          <w:sz w:val="20"/>
        </w:rPr>
        <w:t>FRANQUICIA NOVAWASH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49240" cy="641909"/>
            <wp:docPr id="1" name="Picture 1" descr="Logotipo horizontal NovaWash en negro y naranja" title="Logo NovaWa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wash-horizon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4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0" w:after="180"/>
        <w:jc w:val="center"/>
      </w:pPr>
      <w:r>
        <w:rPr>
          <w:rFonts w:ascii="Calibri" w:hAnsi="Calibri"/>
          <w:b/>
          <w:color w:val="20242C"/>
          <w:sz w:val="54"/>
        </w:rPr>
        <w:t>Propuesta de franquicia</w:t>
      </w:r>
    </w:p>
    <w:p>
      <w:pPr>
        <w:spacing w:after="400" w:line="283" w:lineRule="auto"/>
        <w:ind w:left="360" w:right="360"/>
        <w:jc w:val="center"/>
      </w:pPr>
      <w:r>
        <w:rPr>
          <w:rFonts w:ascii="Calibri" w:hAnsi="Calibri"/>
          <w:color w:val="626A75"/>
          <w:sz w:val="26"/>
        </w:rPr>
        <w:t>Modelo de inversión y acompañamiento para abrir una sede de lavado automatizado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FF3EA" w:val="clear"/>
            <w:tcMar>
              <w:top w:w="180" w:type="dxa"/>
              <w:start w:w="170" w:type="dxa"/>
              <w:bottom w:w="180" w:type="dxa"/>
              <w:end w:w="170" w:type="dxa"/>
            </w:tcMar>
            <w:tcBorders>
              <w:top w:val="single" w:sz="12" w:color="FF6A1A"/>
              <w:left w:val="single" w:sz="12" w:color="FF6A1A"/>
              <w:bottom w:val="single" w:sz="12" w:color="FF6A1A"/>
              <w:right w:val="single" w:sz="12" w:color="FF6A1A"/>
            </w:tcBorders>
          </w:tcPr>
          <w:p>
            <w:pPr>
              <w:spacing w:after="100"/>
              <w:jc w:val="center"/>
            </w:pPr>
            <w:r/>
            <w:r>
              <w:rPr>
                <w:rFonts w:ascii="Calibri" w:hAnsi="Calibri"/>
                <w:b/>
                <w:color w:val="FF6A1A"/>
                <w:sz w:val="18"/>
              </w:rPr>
              <w:t>INVERSIÓN INICIAL</w:t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20242C"/>
                <w:sz w:val="36"/>
              </w:rPr>
              <w:t>$40.000.000 COP</w:t>
            </w:r>
          </w:p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626A75"/>
                <w:sz w:val="18"/>
              </w:rPr>
              <w:t>Valor único de entrada a la franquicia, con alcance detallado en este documento.</w:t>
            </w:r>
          </w:p>
        </w:tc>
        <w:tc>
          <w:tcPr>
            <w:tcW w:type="dxa" w:w="4680"/>
            <w:shd w:fill="F4F6F8" w:val="clear"/>
            <w:tcMar>
              <w:top w:w="180" w:type="dxa"/>
              <w:start w:w="170" w:type="dxa"/>
              <w:bottom w:w="180" w:type="dxa"/>
              <w:end w:w="170" w:type="dxa"/>
            </w:tcMar>
            <w:tcBorders>
              <w:top w:val="single" w:sz="12" w:color="FF6A1A"/>
              <w:left w:val="single" w:sz="12" w:color="FF6A1A"/>
              <w:bottom w:val="single" w:sz="12" w:color="FF6A1A"/>
              <w:right w:val="single" w:sz="12" w:color="FF6A1A"/>
            </w:tcBorders>
          </w:tcPr>
          <w:p>
            <w:pPr>
              <w:spacing w:after="100"/>
              <w:jc w:val="center"/>
            </w:pPr>
            <w:r/>
            <w:r>
              <w:rPr>
                <w:rFonts w:ascii="Calibri" w:hAnsi="Calibri"/>
                <w:b/>
                <w:color w:val="FF6A1A"/>
                <w:sz w:val="18"/>
              </w:rPr>
              <w:t>COMISIÓN POR LAVADA</w:t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20242C"/>
                <w:sz w:val="44"/>
              </w:rPr>
              <w:t>5%</w:t>
            </w:r>
          </w:p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626A75"/>
                <w:sz w:val="18"/>
              </w:rPr>
              <w:t>Incluye el costo del portal de pagos asociado a la operación.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EA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FF6A1A"/>
              <w:left w:val="single" w:sz="10" w:color="FF6A1A"/>
              <w:bottom w:val="single" w:sz="10" w:color="FF6A1A"/>
              <w:right w:val="single" w:sz="10" w:color="FF6A1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FF6A1A"/>
                <w:sz w:val="21"/>
              </w:rPr>
              <w:t>Qué articula NovaWash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Marca, know-how, orientación para importar la maquinaria, diseño conceptual de la sede según el terreno, asesoría de manejo y reúso de agua, y conexión con el proveedor de tecnología automatizada.</w:t>
            </w:r>
          </w:p>
        </w:tc>
      </w:tr>
    </w:tbl>
    <w:p>
      <w:pPr>
        <w:spacing w:before="0" w:after="20"/>
      </w:pPr>
    </w:p>
    <w:p>
      <w:pPr>
        <w:spacing w:before="180" w:after="0"/>
        <w:jc w:val="center"/>
      </w:pPr>
      <w:r>
        <w:rPr>
          <w:rFonts w:ascii="Calibri" w:hAnsi="Calibri"/>
          <w:color w:val="626A75"/>
          <w:sz w:val="18"/>
        </w:rPr>
        <w:t>Versión comercial | Octubre de 2026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01</w:t>
      </w:r>
    </w:p>
    <w:p>
      <w:pPr>
        <w:pStyle w:val="Heading1"/>
        <w:spacing w:before="0" w:after="140"/>
      </w:pPr>
      <w:r>
        <w:t>El modelo de franquicia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NovaWash propone acompañar a un inversionista que desea operar una sede propia con la marca, metodología y herramientas de una red de lavado automatizado. El franquiciado lidera la inversión local y la operación diaria; NovaWash aporta la licencia de marca, el know-how y la asesoría descrita en este documento.</w:t>
      </w:r>
    </w:p>
    <w:p>
      <w:pPr>
        <w:pStyle w:val="Heading2"/>
        <w:keepNext/>
      </w:pPr>
      <w:r>
        <w:t>Estructura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7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83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/ tratamiento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Entrada a la franquicia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COP $40.000.000 como inversión inicial por el alcance de asesoría, know-how, autorización de marca y entregables definidos.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Comisión por lavada</w:t>
            </w:r>
          </w:p>
        </w:tc>
        <w:tc>
          <w:tcPr>
            <w:tcW w:type="dxa" w:w="6983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5% sobre cada lavada, e incluye el costo del portal de pagos asociado a esa operación.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Insumos de lavado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NovaWash será proveedor de jabones y otros insumos acordados. Precios, despacho y condiciones se presentan en la lista comercial vigente.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Obra, maquinaria y tecnología</w:t>
            </w:r>
          </w:p>
        </w:tc>
        <w:tc>
          <w:tcPr>
            <w:tcW w:type="dxa" w:w="6983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Se definen en presupuestos separados según el lote, la configuración y las ofertas de fabricantes e integradores.</w:t>
            </w:r>
          </w:p>
        </w:tc>
      </w:tr>
    </w:tbl>
    <w:p>
      <w:pPr>
        <w:spacing w:after="0" w:before="20"/>
      </w:pPr>
    </w:p>
    <w:p>
      <w:pPr>
        <w:pStyle w:val="Heading2"/>
        <w:keepNext/>
      </w:pPr>
      <w:r>
        <w:t>Cómo se distribuyen las responsabilidades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El franquiciado aporta o asegura el terreno/local, dispone del capital, contrata y ejecuta la obra, compra los equipos y dirige el negocio local.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NovaWash transfiere el know-how, autoriza el uso de marca bajo contrato, asesora la planeación y conecta al franquiciado con el proveedor de automatización.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Los proveedores especializados cotizan y ejecutan sus componentes de maquinaria, software, hardware e instalación según el alcance aprobado.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DF4FF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2463C8"/>
              <w:left w:val="single" w:sz="10" w:color="2463C8"/>
              <w:bottom w:val="single" w:sz="10" w:color="2463C8"/>
              <w:right w:val="single" w:sz="10" w:color="2463C8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2463C8"/>
                <w:sz w:val="21"/>
              </w:rPr>
              <w:t>Alcance y expectativas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Esta propuesta es informativa; los derechos, obligaciones y servicios se formalizan en contratos firmados. No promete ventas, utilidades ni recuperación de inversión. Los costos variables, permisos y fechas se determinan tras revisar el terreno y cotizaciones; se recomienda revisión jurídica, tributaria y técnica antes de importar o construir.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02</w:t>
      </w:r>
    </w:p>
    <w:p>
      <w:pPr>
        <w:pStyle w:val="Heading1"/>
        <w:spacing w:before="0" w:after="140"/>
      </w:pPr>
      <w:r>
        <w:t>Qué incluye la inversión inicial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El valor de COP $40.000.000 corresponde a la entrada y al acompañamiento inicial de NovaWash. Antes de firmar, las partes dejarán por escrito los entregables, las sesiones, las revisiones incluidas y la forma de prestación de cada asesoría.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Frente incluido</w:t>
            </w:r>
          </w:p>
        </w:tc>
        <w:tc>
          <w:tcPr>
            <w:tcW w:type="dxa" w:w="6840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Alcance para el franquiciado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Uso autorizado de la marca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Licencia para operar una sede NovaWash, de acuerdo con el territorio, vigencia, manual de marca y condiciones que se pacten.</w:t>
            </w:r>
          </w:p>
        </w:tc>
      </w:tr>
      <w:tr>
        <w:trPr>
          <w:cantSplit/>
        </w:trPr>
        <w:tc>
          <w:tcPr>
            <w:tcW w:type="dxa" w:w="252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Know-how y orientación operativa</w:t>
            </w:r>
          </w:p>
        </w:tc>
        <w:tc>
          <w:tcPr>
            <w:tcW w:type="dxa" w:w="684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Transferencia inicial de la metodología del negocio, flujo de atención y lavado, estándares de experiencia y criterios de operación.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Asesoría digital de inicio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Reunión de arranque por videollamada y orientación remota para ordenar información del proyecto. El interesado comparte ubicación, fotos, video y medidas del lote.</w:t>
            </w:r>
          </w:p>
        </w:tc>
      </w:tr>
      <w:tr>
        <w:trPr>
          <w:cantSplit/>
        </w:trPr>
        <w:tc>
          <w:tcPr>
            <w:tcW w:type="dxa" w:w="252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Diseño conceptual del espacio</w:t>
            </w:r>
          </w:p>
        </w:tc>
        <w:tc>
          <w:tcPr>
            <w:tcW w:type="dxa" w:w="684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Render y distribución preliminar de la sede a partir de las dimensiones, forma y condiciones reportadas del terreno.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Proyección del proyecto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Organización de una proyección de alcance y capacidad de referencia basada en la configuración propuesta. Los resultados dependen de validación técnica y comercial.</w:t>
            </w:r>
          </w:p>
        </w:tc>
      </w:tr>
      <w:tr>
        <w:trPr>
          <w:cantSplit/>
        </w:trPr>
        <w:tc>
          <w:tcPr>
            <w:tcW w:type="dxa" w:w="252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Asesoría de importación</w:t>
            </w:r>
          </w:p>
        </w:tc>
        <w:tc>
          <w:tcPr>
            <w:tcW w:type="dxa" w:w="684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Orientación para revisar alternativas de maquinaria, documentación y pasos de importación con el proveedor seleccionado.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Agua residual y reúso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Asesoría inicial para identificar captación, conducción, tratamiento y posibilidades de recirculación/reúso según las condiciones del punto.</w:t>
            </w:r>
          </w:p>
        </w:tc>
      </w:tr>
      <w:tr>
        <w:trPr>
          <w:cantSplit/>
        </w:trPr>
        <w:tc>
          <w:tcPr>
            <w:tcW w:type="dxa" w:w="252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Conexión tecnológica</w:t>
            </w:r>
          </w:p>
        </w:tc>
        <w:tc>
          <w:tcPr>
            <w:tcW w:type="dxa" w:w="684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Presentación y coordinación inicial con el proveedor de software, hardware y automatización para revisar la solución aplicable a la sede.</w:t>
            </w:r>
          </w:p>
        </w:tc>
      </w:tr>
    </w:tbl>
    <w:p>
      <w:pPr>
        <w:spacing w:after="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EA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FF6A1A"/>
              <w:left w:val="single" w:sz="10" w:color="FF6A1A"/>
              <w:bottom w:val="single" w:sz="10" w:color="FF6A1A"/>
              <w:right w:val="single" w:sz="10" w:color="FF6A1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FF6A1A"/>
                <w:sz w:val="21"/>
              </w:rPr>
              <w:t>El render orienta el proyecto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El render es una herramienta de distribución y conversación comercial basada en el terreno. Los planos de ingeniería, memorias, diseños firmados, estudios, licencias y planos de construcción requieren contratación y aprobación de profesionales competentes.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03</w:t>
      </w:r>
    </w:p>
    <w:p>
      <w:pPr>
        <w:pStyle w:val="Heading1"/>
        <w:spacing w:before="0" w:after="140"/>
      </w:pPr>
      <w:r>
        <w:t>Costos que se cotizan por separado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El valor de entrada no representa el costo total para abrir una sede. El presupuesto total depende del inmueble, la maquinaria, las condiciones de servicios públicos, la obra y las ofertas vigentes de terceros.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7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Rubro</w:t>
            </w:r>
          </w:p>
        </w:tc>
        <w:tc>
          <w:tcPr>
            <w:tcW w:type="dxa" w:w="237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 principal</w:t>
            </w:r>
          </w:p>
        </w:tc>
        <w:tc>
          <w:tcPr>
            <w:tcW w:type="dxa" w:w="4608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Cómo se define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Terreno, compra o arriendo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Condiciones comerciales y disponibilidad del inmueble.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Obra civil y adecuaciones</w:t>
            </w:r>
          </w:p>
        </w:tc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Presupuesto de contratistas según diseño e ingeniería aprobada. NovaWash no ejecuta la obra.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Maquinaria de lavado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Selección, especificaciones, precio, garantía y disponibilidad del fabricante.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Flete, seguro, aduana e impuestos de importación</w:t>
            </w:r>
          </w:p>
        </w:tc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Cotización logística e impuestos aplicables a la importación.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Software, hardware e integración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Proveedor tecnológico / franquiciado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Propuesta del integrador: alcance, instalación, licencias, mantenimiento y soporte.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Tratamiento y reúso de agua</w:t>
            </w:r>
          </w:p>
        </w:tc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 / especialistas</w:t>
            </w:r>
          </w:p>
        </w:tc>
        <w:tc>
          <w:tcPr>
            <w:tcW w:type="dxa" w:w="4608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Diseño, permisos, equipos, instalación, pruebas y obras hidráulicas requeridas.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Servicios, conectividad y seguridad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Disponibilidad y costos locales de agua, energía, internet, seguros y seguridad.</w:t>
            </w:r>
          </w:p>
        </w:tc>
      </w:tr>
      <w:tr>
        <w:trPr>
          <w:cantSplit/>
        </w:trPr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Personal y operación local</w:t>
            </w:r>
          </w:p>
        </w:tc>
        <w:tc>
          <w:tcPr>
            <w:tcW w:type="dxa" w:w="237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Franquiciado</w:t>
            </w:r>
          </w:p>
        </w:tc>
        <w:tc>
          <w:tcPr>
            <w:tcW w:type="dxa" w:w="4608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Contratación, nómina, capacitación recurrente, inventario y gastos del negocio.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Visitas y desplazamientos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Según acuerdo previo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Si se requiere visita presencial, trayectos, viáticos y agenda se cotizan y aprueban antes.</w:t>
            </w:r>
          </w:p>
        </w:tc>
      </w:tr>
    </w:tbl>
    <w:p>
      <w:pPr>
        <w:spacing w:after="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DF4FF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2463C8"/>
              <w:left w:val="single" w:sz="10" w:color="2463C8"/>
              <w:bottom w:val="single" w:sz="10" w:color="2463C8"/>
              <w:right w:val="single" w:sz="10" w:color="2463C8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2463C8"/>
                <w:sz w:val="21"/>
              </w:rPr>
              <w:t>Presupuesto completo antes de iniciar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Cada propuesta final debe mostrar por separado el valor de franquicia, los pagos a proveedores, los costos de obra, los impuestos y los gastos logísticos. Ningún rubro se considera incluido por inferencia: debe aparecer marcado como incluido en el contrato o cotización.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04</w:t>
      </w:r>
    </w:p>
    <w:p>
      <w:pPr>
        <w:pStyle w:val="Heading1"/>
        <w:spacing w:before="0" w:after="140"/>
      </w:pPr>
      <w:r>
        <w:t>Ruta de implementación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El proceso comienza con una videollamada y la revisión de la información del terreno. La apertura se programa cuando se hayan definido el diseño, los proveedores, la obra, los permisos y la disponibilidad de equipos.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55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4392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311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1. Inicio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Videollamada; recepción de ubicación, fotos, video y medidas.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Ficha inicial del proyecto.</w:t>
            </w:r>
          </w:p>
        </w:tc>
      </w:tr>
      <w:tr>
        <w:trPr>
          <w:cantSplit/>
        </w:trPr>
        <w:tc>
          <w:tcPr>
            <w:tcW w:type="dxa" w:w="1655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2. Revisión del lote</w:t>
            </w:r>
          </w:p>
        </w:tc>
        <w:tc>
          <w:tcPr>
            <w:tcW w:type="dxa" w:w="43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Revisar acceso, circulación, agua, drenajes, energía e internet.</w:t>
            </w:r>
          </w:p>
        </w:tc>
        <w:tc>
          <w:tcPr>
            <w:tcW w:type="dxa" w:w="3311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Observaciones y datos pendientes.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3. Diseño preliminar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Preparar render y distribución ajustados a las condiciones reportadas.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Anteproyecto para revisión del franquiciado.</w:t>
            </w:r>
          </w:p>
        </w:tc>
      </w:tr>
      <w:tr>
        <w:trPr>
          <w:cantSplit/>
        </w:trPr>
        <w:tc>
          <w:tcPr>
            <w:tcW w:type="dxa" w:w="1655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4. Validación y costos</w:t>
            </w:r>
          </w:p>
        </w:tc>
        <w:tc>
          <w:tcPr>
            <w:tcW w:type="dxa" w:w="43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Consultar maquinaria, importación, tecnología, tratamiento de agua y obra.</w:t>
            </w:r>
          </w:p>
        </w:tc>
        <w:tc>
          <w:tcPr>
            <w:tcW w:type="dxa" w:w="3311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Presupuesto desglosado y alternativas.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5. Formalización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Firmar licencia/franquicia, tecnología y acuerdos de suministro aplicables.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Alcance, responsabilidades y condiciones aceptadas.</w:t>
            </w:r>
          </w:p>
        </w:tc>
      </w:tr>
      <w:tr>
        <w:trPr>
          <w:cantSplit/>
        </w:trPr>
        <w:tc>
          <w:tcPr>
            <w:tcW w:type="dxa" w:w="1655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6. Obra y equipos</w:t>
            </w:r>
          </w:p>
        </w:tc>
        <w:tc>
          <w:tcPr>
            <w:tcW w:type="dxa" w:w="43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El franquiciado contrata y ejecuta la obra; proveedores suministran e instalan sus sistemas.</w:t>
            </w:r>
          </w:p>
        </w:tc>
        <w:tc>
          <w:tcPr>
            <w:tcW w:type="dxa" w:w="3311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Sede preparada según ingeniería aprobada.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7. Integración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El proveedor tecnológico configura software, hardware y automatización acordados.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Pruebas y registro de pendientes.</w:t>
            </w:r>
          </w:p>
        </w:tc>
      </w:tr>
      <w:tr>
        <w:trPr>
          <w:cantSplit/>
        </w:trPr>
        <w:tc>
          <w:tcPr>
            <w:tcW w:type="dxa" w:w="1655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8. Preparación de apertura</w:t>
            </w:r>
          </w:p>
        </w:tc>
        <w:tc>
          <w:tcPr>
            <w:tcW w:type="dxa" w:w="43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Revisión operativa, abastecimiento y capacitación inicial según contrato.</w:t>
            </w:r>
          </w:p>
        </w:tc>
        <w:tc>
          <w:tcPr>
            <w:tcW w:type="dxa" w:w="3311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Plan de apertura y seguimiento.</w:t>
            </w:r>
          </w:p>
        </w:tc>
      </w:tr>
    </w:tbl>
    <w:p>
      <w:pPr>
        <w:spacing w:after="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EA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FF6A1A"/>
              <w:left w:val="single" w:sz="10" w:color="FF6A1A"/>
              <w:bottom w:val="single" w:sz="10" w:color="FF6A1A"/>
              <w:right w:val="single" w:sz="10" w:color="FF6A1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FF6A1A"/>
                <w:sz w:val="21"/>
              </w:rPr>
              <w:t>El cronograma se confirma con la sede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Los tiempos dependen de importación, aduana, permisos, contratistas, suministro de servicios, disponibilidad del integrador y aprobación de ingeniería. NovaWash fijará el cronograma con el franquiciado una vez verificadas estas dependencias.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05</w:t>
      </w:r>
    </w:p>
    <w:p>
      <w:pPr>
        <w:pStyle w:val="Heading1"/>
        <w:spacing w:before="0" w:after="140"/>
      </w:pPr>
      <w:r>
        <w:t>Terreno, distribución y manejo del agua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El diseño y la proyección se ajustan a la forma del lote y a su infraestructura. Una sede viable necesita revisar el recorrido de los vehículos, la capacidad de los servicios y la gestión del agua antes de ordenar equipos o comenzar la obra.</w:t>
      </w:r>
    </w:p>
    <w:p>
      <w:pPr>
        <w:pStyle w:val="Heading2"/>
        <w:keepNext/>
      </w:pPr>
      <w:r>
        <w:t>Información para preparar el 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45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Información del punto</w:t>
            </w:r>
          </w:p>
        </w:tc>
        <w:tc>
          <w:tcPr>
            <w:tcW w:type="dxa" w:w="5903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Uso en la revisión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Dirección, ciudad y ubicación del lote</w:t>
            </w:r>
          </w:p>
        </w:tc>
        <w:tc>
          <w:tcPr>
            <w:tcW w:type="dxa" w:w="59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Entender acceso, entorno y restricciones conocidas.</w:t>
            </w:r>
          </w:p>
        </w:tc>
      </w:tr>
      <w:tr>
        <w:trPr>
          <w:cantSplit/>
        </w:trPr>
        <w:tc>
          <w:tcPr>
            <w:tcW w:type="dxa" w:w="34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Frente, fondo, área y alturas</w:t>
            </w:r>
          </w:p>
        </w:tc>
        <w:tc>
          <w:tcPr>
            <w:tcW w:type="dxa" w:w="5903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Dimensionar distribución, circulación y posiciones de equipos.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Video y fotografías del sitio</w:t>
            </w:r>
          </w:p>
        </w:tc>
        <w:tc>
          <w:tcPr>
            <w:tcW w:type="dxa" w:w="59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Identificar accesos, pendientes, construcciones y entorno inmediato.</w:t>
            </w:r>
          </w:p>
        </w:tc>
      </w:tr>
      <w:tr>
        <w:trPr>
          <w:cantSplit/>
        </w:trPr>
        <w:tc>
          <w:tcPr>
            <w:tcW w:type="dxa" w:w="34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Agua, presión, almacenamiento y drenajes</w:t>
            </w:r>
          </w:p>
        </w:tc>
        <w:tc>
          <w:tcPr>
            <w:tcW w:type="dxa" w:w="5903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Revisar la viabilidad preliminar del proceso y del manejo de vertimientos.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Energía e internet disponibles</w:t>
            </w:r>
          </w:p>
        </w:tc>
        <w:tc>
          <w:tcPr>
            <w:tcW w:type="dxa" w:w="59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Preparar requerimientos iniciales para maquinaria y automatización.</w:t>
            </w:r>
          </w:p>
        </w:tc>
      </w:tr>
      <w:tr>
        <w:trPr>
          <w:cantSplit/>
        </w:trPr>
        <w:tc>
          <w:tcPr>
            <w:tcW w:type="dxa" w:w="34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Uso actual y permisos conocidos</w:t>
            </w:r>
          </w:p>
        </w:tc>
        <w:tc>
          <w:tcPr>
            <w:tcW w:type="dxa" w:w="5903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7"/>
              </w:rPr>
              <w:t>Detectar asuntos que el propietario debe validar con autoridades y profesionales.</w:t>
            </w:r>
          </w:p>
        </w:tc>
      </w:tr>
    </w:tbl>
    <w:p>
      <w:pPr>
        <w:spacing w:after="0" w:before="20"/>
      </w:pPr>
    </w:p>
    <w:p>
      <w:pPr>
        <w:pStyle w:val="Heading2"/>
        <w:keepNext/>
      </w:pPr>
      <w:r>
        <w:t>Asesoría para captación, tratamiento y reúso</w:t>
      </w:r>
    </w:p>
    <w:p>
      <w:pPr>
        <w:widowControl/>
        <w:spacing w:before="0" w:after="120" w:line="278" w:lineRule="auto"/>
      </w:pPr>
      <w:r>
        <w:rPr>
          <w:rFonts w:ascii="Calibri" w:hAnsi="Calibri"/>
          <w:color w:val="17191D"/>
          <w:sz w:val="22"/>
        </w:rPr>
        <w:t>NovaWash orientará la identificación de una solución para recolectar y conducir el agua residual hacia etapas de tratamiento y eventual recirculación o reúso. La alternativa debe ajustarse al caudal, calidad del agua, espacio, diseño de drenajes y condiciones del inmueble.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El franquiciado contrata y paga los estudios, equipos, redes, permisos, construcción y pruebas que requiera la solución aprobada.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Los diseños y certificaciones que deban suscribir especialistas los preparan profesionales contratados para la sede.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La operación debe cumplir los requisitos ambientales, sanitarios y de uso del suelo aplicables a la ubicación, verificados por el franquiciado con asesoría competente.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EA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FF6A1A"/>
              <w:left w:val="single" w:sz="10" w:color="FF6A1A"/>
              <w:bottom w:val="single" w:sz="10" w:color="FF6A1A"/>
              <w:right w:val="single" w:sz="10" w:color="FF6A1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FF6A1A"/>
                <w:sz w:val="21"/>
              </w:rPr>
              <w:t>Responsabilidad de obra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NovaWash entrega orientación y diseño conceptual dentro del alcance acordado. La contratación, dirección y ejecución de obra civil e instalaciones locales quedan a cargo del dueño de la franquicia.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06</w:t>
      </w:r>
    </w:p>
    <w:p>
      <w:pPr>
        <w:pStyle w:val="Heading1"/>
        <w:spacing w:before="0" w:after="140"/>
      </w:pPr>
      <w:r>
        <w:t>Maquinaria y tecnología automatizada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NovaWash ayuda a estructurar la solución y conecta al franquiciado con el proveedor tecnológico. La selección y el costo final se determinan con la ficha del lote, el volumen esperado, la maquinaria compatible y las condiciones ofrecidas por cada proveedor.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81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Acompañamiento de NovaWash</w:t>
            </w:r>
          </w:p>
        </w:tc>
        <w:tc>
          <w:tcPr>
            <w:tcW w:type="dxa" w:w="3744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Responsabilidad y costo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Maquinaria principal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Orientación para definir requerimientos y revisar opciones para la sede.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El franquiciado contrata y paga el equipo; fabricante define especificación, disponibilidad y garantía.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Importación</w:t>
            </w:r>
          </w:p>
        </w:tc>
        <w:tc>
          <w:tcPr>
            <w:tcW w:type="dxa" w:w="381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Asesoría digital sobre ruta, documentos y coordinación de información con proveedor.</w:t>
            </w:r>
          </w:p>
        </w:tc>
        <w:tc>
          <w:tcPr>
            <w:tcW w:type="dxa" w:w="374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El franquiciado asume compras, fletes, seguro, aduana, tributos, bodegaje y demás cargos cotizados.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Software de operación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Conexión y coordinación con el proveedor para revisar el flujo acordado.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Licencia, activación, alojamiento y soporte se especifican en la propuesta tecnológica.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Hardware y automatización</w:t>
            </w:r>
          </w:p>
        </w:tc>
        <w:tc>
          <w:tcPr>
            <w:tcW w:type="dxa" w:w="381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Facilitar la implementación con el proveedor de la tecnología automatizada.</w:t>
            </w:r>
          </w:p>
        </w:tc>
        <w:tc>
          <w:tcPr>
            <w:tcW w:type="dxa" w:w="374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El proveedor especifica, cotiza, instala y garantiza los equipos bajo su contrato.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Pruebas y puesta en marcha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Acompañamiento de coordinación dentro del alcance acordado.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Criterios de aceptación, responsables, tiempos y visitas se fijan antes de contratar.</w:t>
            </w:r>
          </w:p>
        </w:tc>
      </w:tr>
    </w:tbl>
    <w:p>
      <w:pPr>
        <w:spacing w:after="0" w:before="20"/>
      </w:pPr>
    </w:p>
    <w:p>
      <w:pPr>
        <w:pStyle w:val="Heading2"/>
        <w:keepNext/>
      </w:pPr>
      <w:r>
        <w:t>Flujo operativo previsto</w:t>
      </w:r>
    </w:p>
    <w:p>
      <w:pPr>
        <w:pStyle w:val="ListNumber"/>
        <w:spacing w:after="60" w:line="269" w:lineRule="auto"/>
      </w:pPr>
      <w:r>
        <w:rPr>
          <w:rFonts w:ascii="Calibri" w:hAnsi="Calibri"/>
          <w:color w:val="17191D"/>
          <w:sz w:val="20"/>
        </w:rPr>
        <w:t>El cliente elige la lavada y paga mediante el canal habilitado.</w:t>
      </w:r>
    </w:p>
    <w:p>
      <w:pPr>
        <w:pStyle w:val="ListNumber"/>
        <w:spacing w:after="60" w:line="269" w:lineRule="auto"/>
      </w:pPr>
      <w:r>
        <w:rPr>
          <w:rFonts w:ascii="Calibri" w:hAnsi="Calibri"/>
          <w:color w:val="17191D"/>
          <w:sz w:val="20"/>
        </w:rPr>
        <w:t>La plataforma registra la transacción y habilita el paso de acuerdo con la integración instalada.</w:t>
      </w:r>
    </w:p>
    <w:p>
      <w:pPr>
        <w:pStyle w:val="ListNumber"/>
        <w:spacing w:after="60" w:line="269" w:lineRule="auto"/>
      </w:pPr>
      <w:r>
        <w:rPr>
          <w:rFonts w:ascii="Calibri" w:hAnsi="Calibri"/>
          <w:color w:val="17191D"/>
          <w:sz w:val="20"/>
        </w:rPr>
        <w:t>La maquinaria ejecuta el servicio bajo la operación local de la sede.</w:t>
      </w:r>
    </w:p>
    <w:p>
      <w:pPr>
        <w:pStyle w:val="ListNumber"/>
        <w:spacing w:after="60" w:line="269" w:lineRule="auto"/>
      </w:pPr>
      <w:r>
        <w:rPr>
          <w:rFonts w:ascii="Calibri" w:hAnsi="Calibri"/>
          <w:color w:val="17191D"/>
          <w:sz w:val="20"/>
        </w:rPr>
        <w:t>El sistema deja el registro necesario para conciliación y cálculo de la comisión.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DF4FF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2463C8"/>
              <w:left w:val="single" w:sz="10" w:color="2463C8"/>
              <w:bottom w:val="single" w:sz="10" w:color="2463C8"/>
              <w:right w:val="single" w:sz="10" w:color="2463C8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2463C8"/>
                <w:sz w:val="21"/>
              </w:rPr>
              <w:t>La integración se verifica en sitio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El proveedor tecnológico debe confirmar compatibilidad, condiciones de internet y energía, medidas de seguridad, garantía, soporte, contingencias y pruebas de aceptación antes de que el franquiciado apruebe la instalación.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07</w:t>
      </w:r>
    </w:p>
    <w:p>
      <w:pPr>
        <w:pStyle w:val="Heading1"/>
        <w:spacing w:before="0" w:after="140"/>
      </w:pPr>
      <w:r>
        <w:t>Comisión por lavada y suministro de insumos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La relación recurrente de la red combina una comisión por uso de la marca y el sistema con la compra de insumos para el servicio. Las liquidaciones y las compras deben quedar soportadas por registros y condiciones comerciales escritas.</w:t>
      </w:r>
    </w:p>
    <w:p>
      <w:pPr>
        <w:pStyle w:val="Heading2"/>
        <w:keepNext/>
      </w:pPr>
      <w:r>
        <w:t>Comisión del 5%</w:t>
      </w:r>
    </w:p>
    <w:p>
      <w:pPr>
        <w:widowControl/>
        <w:spacing w:before="0" w:after="120" w:line="278" w:lineRule="auto"/>
      </w:pPr>
      <w:r>
        <w:rPr>
          <w:rFonts w:ascii="Calibri" w:hAnsi="Calibri"/>
          <w:color w:val="17191D"/>
          <w:sz w:val="22"/>
        </w:rPr>
        <w:t>El franquiciado pagará a NovaWash una comisión equivalente al 5% por cada lavada. Esta comisión incluye el costo del portal de pagos asociado a la operación; ese componente no se presenta como un cobro adicional de NovaWash por separado.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6192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Ejemplo aritmético ilustrativo</w:t>
            </w:r>
          </w:p>
        </w:tc>
        <w:tc>
          <w:tcPr>
            <w:tcW w:type="dxa" w:w="3168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Valor de una lavada usado en el ejemplo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COP $100.000</w:t>
            </w:r>
          </w:p>
        </w:tc>
      </w:tr>
      <w:tr>
        <w:trPr>
          <w:cantSplit/>
        </w:trPr>
        <w:tc>
          <w:tcPr>
            <w:tcW w:type="dxa" w:w="61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Comisión NovaWash (5%)</w:t>
            </w:r>
          </w:p>
        </w:tc>
        <w:tc>
          <w:tcPr>
            <w:tcW w:type="dxa" w:w="3168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COP $5.000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Saldo antes de gastos propios de la sede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8"/>
              </w:rPr>
              <w:t>COP $95.000</w:t>
            </w:r>
          </w:p>
        </w:tc>
      </w:tr>
    </w:tbl>
    <w:p>
      <w:pPr>
        <w:spacing w:after="0" w:before="20"/>
      </w:pPr>
    </w:p>
    <w:p>
      <w:pPr>
        <w:widowControl/>
        <w:spacing w:before="0" w:after="120" w:line="278" w:lineRule="auto"/>
      </w:pPr>
      <w:r>
        <w:rPr>
          <w:rFonts w:ascii="Calibri" w:hAnsi="Calibri"/>
          <w:color w:val="17191D"/>
          <w:sz w:val="22"/>
        </w:rPr>
        <w:t>El ejemplo explica únicamente el cálculo porcentual. El contrato debe precisar la base de liquidación, el registro que se considera una lavada, el calendario de conciliación y el tratamiento de descuentos, devoluciones, transacciones anuladas e impuestos.</w:t>
      </w:r>
    </w:p>
    <w:p>
      <w:pPr>
        <w:pStyle w:val="Heading2"/>
        <w:keepNext/>
      </w:pPr>
      <w:r>
        <w:t>Jabones e insumos</w:t>
      </w:r>
    </w:p>
    <w:p>
      <w:pPr>
        <w:widowControl/>
        <w:spacing w:before="0" w:after="120" w:line="278" w:lineRule="auto"/>
      </w:pPr>
      <w:r>
        <w:rPr>
          <w:rFonts w:ascii="Calibri" w:hAnsi="Calibri"/>
          <w:color w:val="17191D"/>
          <w:sz w:val="22"/>
        </w:rPr>
        <w:t>NovaWash será proveedor de jabones y de los insumos acordados para mantener consistencia de servicio. La lista de productos, fichas técnicas, precios, cantidades por pedido, inventario mínimo, forma de pago, entrega y costos de transporte se presentará antes de formalizar el suministro.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La sede debe conservar inventario suficiente y usar productos compatibles con los equipos y el tratamiento de agua instalado.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Cualquier sustitución de producto o proveedor que afecte calidad, equipos o marca debe seguir el proceso de aprobación que indique el contrato.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8F1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23744A"/>
              <w:left w:val="single" w:sz="10" w:color="23744A"/>
              <w:bottom w:val="single" w:sz="10" w:color="23744A"/>
              <w:right w:val="single" w:sz="10" w:color="23744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23744A"/>
                <w:sz w:val="21"/>
              </w:rPr>
              <w:t>Otros cargos recurrentes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La propuesta aquí descrita confirma la comisión del 5% por lavada. Cualquier mensualidad, soporte adicional, mantenimiento, licencia tecnológica u otro cobro deberá aparecer con su valor y periodicidad en una cotización o acuerdo firmado.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08</w:t>
      </w:r>
    </w:p>
    <w:p>
      <w:pPr>
        <w:pStyle w:val="Heading1"/>
        <w:spacing w:before="0" w:after="140"/>
      </w:pPr>
      <w:r>
        <w:t>Responsabilidades de cada parte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La sede funciona con una división clara: NovaWash acompaña y habilita el modelo; el franquiciado invierte y opera; cada proveedor responde por los equipos y servicios que contrate. El contrato y las órdenes de compra asignarán por escrito el alcance y las garantías.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00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2592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NovaWash</w:t>
            </w:r>
          </w:p>
        </w:tc>
        <w:tc>
          <w:tcPr>
            <w:tcW w:type="dxa" w:w="273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Franquiciado</w:t>
            </w:r>
          </w:p>
        </w:tc>
        <w:tc>
          <w:tcPr>
            <w:tcW w:type="dxa" w:w="2232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Proveedor / profesional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Marca y know-how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Autoriza el uso y entrega orientación según contrato.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Usa la marca y aplica los estándares acordados.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No aplica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Terreno y permisos locales</w:t>
            </w:r>
          </w:p>
        </w:tc>
        <w:tc>
          <w:tcPr>
            <w:tcW w:type="dxa" w:w="25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Aporta criterios de revisión.</w:t>
            </w:r>
          </w:p>
        </w:tc>
        <w:tc>
          <w:tcPr>
            <w:tcW w:type="dxa" w:w="273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Aporta el inmueble y gestiona permisos y condiciones locales.</w:t>
            </w:r>
          </w:p>
        </w:tc>
        <w:tc>
          <w:tcPr>
            <w:tcW w:type="dxa" w:w="223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Abogado, gestor o profesional competente, si se contrata.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Render y distribución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Prepara la propuesta conceptual dentro del alcance.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Entrega medidas, información y aprueba la alternativa.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Ingeniero/arq. desarrolla y firma planos técnicos requeridos.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Obra civil</w:t>
            </w:r>
          </w:p>
        </w:tc>
        <w:tc>
          <w:tcPr>
            <w:tcW w:type="dxa" w:w="25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No ejecuta la obra; puede orientar la coordinación contratada.</w:t>
            </w:r>
          </w:p>
        </w:tc>
        <w:tc>
          <w:tcPr>
            <w:tcW w:type="dxa" w:w="273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Contrata, financia y dirige la ejecución local.</w:t>
            </w:r>
          </w:p>
        </w:tc>
        <w:tc>
          <w:tcPr>
            <w:tcW w:type="dxa" w:w="223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Constructor y técnicos responden según sus contratos.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Maquinaria e importación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Orienta y coordina información del proceso.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Compra, importa, recibe y asegura los equipos.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Fabricante, agente logístico y aduanero.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Automatización</w:t>
            </w:r>
          </w:p>
        </w:tc>
        <w:tc>
          <w:tcPr>
            <w:tcW w:type="dxa" w:w="25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Conecta al franquiciado con el proveedor tecnológico.</w:t>
            </w:r>
          </w:p>
        </w:tc>
        <w:tc>
          <w:tcPr>
            <w:tcW w:type="dxa" w:w="273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Aprueba y paga la solución cotizada.</w:t>
            </w:r>
          </w:p>
        </w:tc>
        <w:tc>
          <w:tcPr>
            <w:tcW w:type="dxa" w:w="223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Integra, instala y soporta lo contratado.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Operación diaria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Define estándares de marca y acompañamiento acordado.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Contrata personal, atiende clientes y administra la sede.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Servicios especializados según contrato.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Insumos</w:t>
            </w:r>
          </w:p>
        </w:tc>
        <w:tc>
          <w:tcPr>
            <w:tcW w:type="dxa" w:w="259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Ofrece los insumos incluidos en el catálogo vigente.</w:t>
            </w:r>
          </w:p>
        </w:tc>
        <w:tc>
          <w:tcPr>
            <w:tcW w:type="dxa" w:w="273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Compra, almacena y controla el consumo.</w:t>
            </w:r>
          </w:p>
        </w:tc>
        <w:tc>
          <w:tcPr>
            <w:tcW w:type="dxa" w:w="2232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5"/>
              </w:rPr>
              <w:t>Transporte u otros servicios que se coticen.</w:t>
            </w:r>
          </w:p>
        </w:tc>
      </w:tr>
    </w:tbl>
    <w:p>
      <w:pPr>
        <w:spacing w:after="0" w:before="20"/>
      </w:pPr>
    </w:p>
    <w:p>
      <w:pPr>
        <w:pStyle w:val="Heading2"/>
        <w:keepNext/>
      </w:pPr>
      <w:r>
        <w:t>Estándares de operación</w:t>
      </w:r>
    </w:p>
    <w:p>
      <w:pPr>
        <w:widowControl/>
        <w:spacing w:before="0" w:after="120" w:line="278" w:lineRule="auto"/>
      </w:pPr>
      <w:r>
        <w:rPr>
          <w:rFonts w:ascii="Calibri" w:hAnsi="Calibri"/>
          <w:color w:val="17191D"/>
          <w:sz w:val="22"/>
        </w:rPr>
        <w:t>El franquiciado debe mantener una presentación consistente de la marca, cuidar los equipos, operar con personal capacitado, registrar las lavadas en el sistema y resolver con rapidez las novedades del cliente. Los indicadores, auditorías, manuales, niveles de servicio y consecuencias por incumplimiento se detallarán en los documentos de franquicia.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FF6A1A"/>
          <w:sz w:val="18"/>
        </w:rPr>
        <w:t>09</w:t>
      </w:r>
    </w:p>
    <w:p>
      <w:pPr>
        <w:pStyle w:val="Heading1"/>
        <w:spacing w:before="0" w:after="140"/>
      </w:pPr>
      <w:r>
        <w:t>Formalización y siguiente paso</w:t>
      </w:r>
    </w:p>
    <w:p>
      <w:pPr>
        <w:widowControl/>
        <w:spacing w:before="0" w:after="180" w:line="293" w:lineRule="auto"/>
      </w:pPr>
      <w:r>
        <w:rPr>
          <w:rFonts w:ascii="Calibri" w:hAnsi="Calibri"/>
          <w:color w:val="626A75"/>
          <w:sz w:val="23"/>
        </w:rPr>
        <w:t>Antes de comprometer la inversión, las partes revisarán la ubicación y convertirán esta propuesta en un alcance contractual con costos completos, responsables y condiciones medibles.</w:t>
      </w:r>
    </w:p>
    <w:p>
      <w:pPr>
        <w:pStyle w:val="Heading2"/>
        <w:keepNext/>
      </w:pPr>
      <w:r>
        <w:t>Condiciones que deben quedar por escrito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056"/>
            <w:shd w:fill="20242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Definición necesaria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Pago inicial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Forma de pago, fechas, impuestos, entregables, sesiones y revisiones incluidas en COP $40.000.000.</w:t>
            </w:r>
          </w:p>
        </w:tc>
      </w:tr>
      <w:tr>
        <w:trPr>
          <w:cantSplit/>
        </w:trPr>
        <w:tc>
          <w:tcPr>
            <w:tcW w:type="dxa" w:w="230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Marca y territorio</w:t>
            </w:r>
          </w:p>
        </w:tc>
        <w:tc>
          <w:tcPr>
            <w:tcW w:type="dxa" w:w="70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Sede autorizada, zona, exclusividad si aplica, vigencia, renovación y causas de terminación.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Comisión por lavada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Base del 5%, registro válido, liquidación, recaudo, conciliación, descuentos y devoluciones.</w:t>
            </w:r>
          </w:p>
        </w:tc>
      </w:tr>
      <w:tr>
        <w:trPr>
          <w:cantSplit/>
        </w:trPr>
        <w:tc>
          <w:tcPr>
            <w:tcW w:type="dxa" w:w="230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Proveedor tecnológico</w:t>
            </w:r>
          </w:p>
        </w:tc>
        <w:tc>
          <w:tcPr>
            <w:tcW w:type="dxa" w:w="70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Costo de software, hardware e instalación; propiedad, garantías, mantenimiento, disponibilidad y soporte.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Maquinaria y obra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Alcance, presupuesto, importación, responsables, pruebas, garantías y exclusiones.</w:t>
            </w:r>
          </w:p>
        </w:tc>
      </w:tr>
      <w:tr>
        <w:trPr>
          <w:cantSplit/>
        </w:trPr>
        <w:tc>
          <w:tcPr>
            <w:tcW w:type="dxa" w:w="230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Insumos</w:t>
            </w:r>
          </w:p>
        </w:tc>
        <w:tc>
          <w:tcPr>
            <w:tcW w:type="dxa" w:w="70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Catálogo, precios, pedido mínimo si lo hubiera, despacho, pago y política de sustitución.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Agua y permisos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Estudios y trámites requeridos, responsable de contratarlos y criterios de aceptación.</w:t>
            </w:r>
          </w:p>
        </w:tc>
      </w:tr>
      <w:tr>
        <w:trPr>
          <w:cantSplit/>
        </w:trPr>
        <w:tc>
          <w:tcPr>
            <w:tcW w:type="dxa" w:w="2304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Datos y operación</w:t>
            </w:r>
          </w:p>
        </w:tc>
        <w:tc>
          <w:tcPr>
            <w:tcW w:type="dxa" w:w="7056"/>
            <w:shd w:fill="F4F6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4D9E0"/>
              <w:left w:val="single" w:sz="4" w:color="D4D9E0"/>
              <w:bottom w:val="single" w:sz="4" w:color="D4D9E0"/>
              <w:right w:val="single" w:sz="4" w:color="D4D9E0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191D"/>
                <w:sz w:val="16"/>
              </w:rPr>
              <w:t>Uso de información del cliente, accesos al sistema, reportes, seguridad y deberes de cada parte.</w:t>
            </w:r>
          </w:p>
        </w:tc>
      </w:tr>
    </w:tbl>
    <w:p>
      <w:pPr>
        <w:spacing w:after="0" w:before="20"/>
      </w:pPr>
    </w:p>
    <w:p>
      <w:pPr>
        <w:pStyle w:val="Heading2"/>
        <w:keepNext/>
      </w:pPr>
      <w:r>
        <w:t>Para iniciar la evaluación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Ciudad, dirección o enlace de ubicación del lote y situación de propiedad o arriendo.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Medidas del terreno, fotografías y un video del recorrido y de las conexiones disponibles.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Información conocida de agua, drenajes, energía, internet, uso del suelo y permisos.</w:t>
      </w:r>
    </w:p>
    <w:p>
      <w:pPr>
        <w:pStyle w:val="ListBullet"/>
        <w:widowControl/>
        <w:spacing w:after="60" w:line="269" w:lineRule="auto"/>
      </w:pPr>
      <w:r>
        <w:rPr>
          <w:rFonts w:ascii="Calibri" w:hAnsi="Calibri"/>
          <w:color w:val="17191D"/>
          <w:sz w:val="20"/>
        </w:rPr>
        <w:t xml:space="preserve"> Presupuesto disponible, plazo deseado y datos de la persona que operará la sede.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EA" w:val="clea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FF6A1A"/>
              <w:left w:val="single" w:sz="10" w:color="FF6A1A"/>
              <w:bottom w:val="single" w:sz="10" w:color="FF6A1A"/>
              <w:right w:val="single" w:sz="10" w:color="FF6A1A"/>
            </w:tcBorders>
          </w:tcPr>
          <w:p>
            <w:pPr>
              <w:keepNext/>
              <w:spacing w:after="80"/>
            </w:pPr>
            <w:r/>
            <w:r>
              <w:rPr>
                <w:rFonts w:ascii="Calibri" w:hAnsi="Calibri"/>
                <w:b/>
                <w:color w:val="FF6A1A"/>
                <w:sz w:val="21"/>
              </w:rPr>
              <w:t>Siguiente paso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191D"/>
                <w:sz w:val="19"/>
              </w:rPr>
              <w:t>Con esta información NovaWash agenda la videollamada inicial y confirma si el proyecto puede avanzar a revisión del lote, render y cotización de proveedores. Una visita presencial, si se requiere, se programa y cotiza antes de realizarse.</w:t>
            </w:r>
          </w:p>
        </w:tc>
      </w:tr>
    </w:tbl>
    <w:p>
      <w:pPr>
        <w:spacing w:before="0"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26A75"/>
        <w:sz w:val="16"/>
      </w:rPr>
      <w:t xml:space="preserve">Propuesta comercial informativa | Página </w:t>
    </w:r>
    <w:r>
      <w:rPr>
        <w:rFonts w:ascii="Calibri" w:hAnsi="Calibri"/>
        <w:color w:val="626A75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626A75"/>
        <w:sz w:val="16"/>
      </w:rPr>
      <w:t xml:space="preserve"> de </w:t>
    </w:r>
    <w:r>
      <w:rPr>
        <w:rFonts w:ascii="Calibri" w:hAnsi="Calibri"/>
        <w:color w:val="626A7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52"/>
      <w:gridCol w:w="4608"/>
    </w:tblGrid>
    <w:tr>
      <w:trPr>
        <w:tblHeader w:val="true"/>
      </w:trP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Calibri" w:hAnsi="Calibri"/>
              <w:b/>
              <w:color w:val="FF6A1A"/>
              <w:sz w:val="16"/>
            </w:rPr>
          </w:r>
          <w:r>
            <w:rPr>
              <w:rFonts w:ascii="Calibri" w:hAnsi="Calibri"/>
              <w:b/>
              <w:color w:val="FF6A1A"/>
              <w:sz w:val="16"/>
            </w:rPr>
            <w:t>NOVAWASH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/>
          <w:r>
            <w:rPr>
              <w:rFonts w:ascii="Calibri" w:hAnsi="Calibri"/>
              <w:color w:val="626A75"/>
              <w:sz w:val="16"/>
            </w:rPr>
            <w:t>Modelo de franquicia | Propuesta comercial</w:t>
          </w:r>
        </w:p>
      </w:tc>
    </w:tr>
  </w:tbl>
  <w:p>
    <w:pPr>
      <w:spacing w:after="0"/>
      <w:pBdr>
        <w:bottom w:val="single" w:sz="6" w:space="1" w:color="D7DDE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719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FF6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F6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24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900" w:hanging="28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franquicia NovaWash</dc:title>
  <dc:subject>Modelo comercial, inversión y responsabilidades de una sede NovaWash</dc:subject>
  <dc:creator>Novawash</dc:creator>
  <cp:keywords>NovaWash, franquicia, inversión, lavado automatizado</cp:keywords>
  <dc:description>Propuesta informativa para evaluación comercial.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