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00" w:line="320" w:lineRule="auto"/>
        <w:jc w:val="center"/>
      </w:pPr>
      <w:r>
        <w:rPr>
          <w:rFonts w:ascii="Calibri" w:hAnsi="Calibri"/>
          <w:b/>
          <w:i w:val="0"/>
          <w:color w:val="FF6A1A"/>
          <w:sz w:val="20"/>
        </w:rPr>
        <w:t>MODELOS DE INVERSIÓN Y OPERACIÓN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291840" cy="1316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lar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316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20" w:lineRule="auto"/>
        <w:jc w:val="center"/>
      </w:pPr>
      <w:r>
        <w:rPr>
          <w:rFonts w:ascii="Calibri" w:hAnsi="Calibri"/>
          <w:b/>
          <w:i w:val="0"/>
          <w:color w:val="20242C"/>
          <w:sz w:val="44"/>
        </w:rPr>
        <w:t>Dossier comercial para potenciales inversionistas y operadores</w:t>
      </w:r>
    </w:p>
    <w:p>
      <w:pPr>
        <w:spacing w:before="0" w:after="320" w:line="320" w:lineRule="auto"/>
        <w:jc w:val="center"/>
      </w:pPr>
      <w:r>
        <w:rPr>
          <w:rFonts w:ascii="Calibri" w:hAnsi="Calibri"/>
          <w:b w:val="0"/>
          <w:i w:val="0"/>
          <w:color w:val="626A75"/>
          <w:sz w:val="25"/>
        </w:rPr>
        <w:t>Infraestructura de lavado a presión + automatización + software + marca + soporte</w:t>
      </w:r>
    </w:p>
    <w:p>
      <w:pPr>
        <w:spacing w:after="280"/>
        <w:pBdr>
          <w:bottom w:val="single" w:sz="22" w:space="1" w:color="FF6A1A"/>
        </w:pBdr>
      </w:pP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GUÍA DE DECISIÓN</w:t>
      </w:r>
    </w:p>
    <w:p>
      <w:pPr>
        <w:pStyle w:val="Heading1"/>
        <w:keepNext/>
      </w:pPr>
      <w:r>
        <w:t>Cómo usar este documento</w:t>
      </w:r>
    </w:p>
    <w:p>
      <w:pPr>
        <w:spacing w:before="0" w:after="240" w:line="320" w:lineRule="auto"/>
      </w:pPr>
      <w:r>
        <w:rPr>
          <w:rFonts w:ascii="Calibri" w:hAnsi="Calibri"/>
          <w:b w:val="0"/>
          <w:i w:val="0"/>
          <w:color w:val="626A75"/>
          <w:sz w:val="23"/>
        </w:rPr>
        <w:t>Este dossier permite entender qué vende Novawash, comparar cuatro modalidades y entregar la información mínima para evaluar una ubicación.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1D5FD1"/>
          <w:left w:val="single" w:sz="8" w:space="0" w:color="1D5FD1"/>
          <w:bottom w:val="single" w:sz="8" w:space="0" w:color="1D5FD1"/>
          <w:right w:val="single" w:sz="8" w:space="0" w:color="1D5FD1"/>
          <w:insideH w:val="single" w:sz="8" w:space="0" w:color="1D5FD1"/>
          <w:insideV w:val="single" w:sz="8" w:space="0" w:color="1D5FD1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0FF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1D5FD1"/>
                <w:sz w:val="22"/>
              </w:rPr>
              <w:t>Recomendación de etapa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7191D"/>
                <w:sz w:val="21"/>
              </w:rPr>
              <w:t>Novawash está en estructuración y lanzamiento. Mientras no exista una sede propia con históricos auditables, conviene vender licencia de marca y tecnología, equipos y proyecto llave en mano. La denominación “franquicia” y cualquier promesa financiera deben validarse jurídicamente.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Ruta rápida</w:t>
      </w:r>
    </w:p>
    <w:p>
      <w:pPr>
        <w:pStyle w:val="ListNumber"/>
        <w:spacing w:after="80" w:line="290" w:lineRule="auto"/>
      </w:pPr>
      <w:r>
        <w:rPr>
          <w:rFonts w:ascii="Calibri" w:hAnsi="Calibri"/>
          <w:color w:val="17191D"/>
          <w:sz w:val="21"/>
        </w:rPr>
        <w:t>Lea la fotografía actual para distinguir capacidades confirmadas de funcionalidades planeadas.</w:t>
      </w:r>
    </w:p>
    <w:p>
      <w:pPr>
        <w:pStyle w:val="ListNumber"/>
        <w:spacing w:after="80" w:line="290" w:lineRule="auto"/>
      </w:pPr>
      <w:r>
        <w:rPr>
          <w:rFonts w:ascii="Calibri" w:hAnsi="Calibri"/>
          <w:color w:val="17191D"/>
          <w:sz w:val="21"/>
        </w:rPr>
        <w:t>Compare los cuatro modelos y marque el que mejor coincide con su capital, local y experiencia.</w:t>
      </w:r>
    </w:p>
    <w:p>
      <w:pPr>
        <w:pStyle w:val="ListNumber"/>
        <w:spacing w:after="80" w:line="290" w:lineRule="auto"/>
      </w:pPr>
      <w:r>
        <w:rPr>
          <w:rFonts w:ascii="Calibri" w:hAnsi="Calibri"/>
          <w:color w:val="17191D"/>
          <w:sz w:val="21"/>
        </w:rPr>
        <w:t>Revise responsabilidades, propiedad de activos, territorio y costos recurrentes.</w:t>
      </w:r>
    </w:p>
    <w:p>
      <w:pPr>
        <w:pStyle w:val="ListNumber"/>
        <w:spacing w:after="80" w:line="290" w:lineRule="auto"/>
      </w:pPr>
      <w:r>
        <w:rPr>
          <w:rFonts w:ascii="Calibri" w:hAnsi="Calibri"/>
          <w:color w:val="17191D"/>
          <w:sz w:val="21"/>
        </w:rPr>
        <w:t>Complete la ficha final. Novawash realizará una prefactibilidad antes de cotizar.</w:t>
      </w:r>
    </w:p>
    <w:p>
      <w:pPr>
        <w:pStyle w:val="Heading2"/>
        <w:keepNext/>
      </w:pPr>
      <w:r>
        <w:t>Convenciones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Marca</w:t>
            </w:r>
          </w:p>
        </w:tc>
        <w:tc>
          <w:tcPr>
            <w:tcW w:type="dxa" w:w="746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9"/>
              </w:rPr>
              <w:t>CONFIRMADO</w:t>
            </w:r>
          </w:p>
        </w:tc>
        <w:tc>
          <w:tcPr>
            <w:tcW w:type="dxa" w:w="7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9"/>
              </w:rPr>
              <w:t>Existe evidencia en el proyecto o fue declarado expresamente por Novawash.</w:t>
            </w:r>
          </w:p>
        </w:tc>
      </w:tr>
      <w:tr>
        <w:trPr>
          <w:cantSplit/>
        </w:trPr>
        <w:tc>
          <w:tcPr>
            <w:tcW w:type="dxa" w:w="1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9"/>
              </w:rPr>
              <w:t>POR DEFINIR</w:t>
            </w:r>
          </w:p>
        </w:tc>
        <w:tc>
          <w:tcPr>
            <w:tcW w:type="dxa" w:w="74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9"/>
              </w:rPr>
              <w:t>Falta cotización, política, contrato, prueba de ingeniería o decisión comercial.</w:t>
            </w:r>
          </w:p>
        </w:tc>
      </w:tr>
      <w:tr>
        <w:trPr>
          <w:cantSplit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9"/>
              </w:rPr>
              <w:t>ILUSTRATIVO</w:t>
            </w:r>
          </w:p>
        </w:tc>
        <w:tc>
          <w:tcPr>
            <w:tcW w:type="dxa" w:w="7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9"/>
              </w:rPr>
              <w:t>Ejemplo de cálculo; no es resultado histórico ni promesa de rentabilidad.</w:t>
            </w:r>
          </w:p>
        </w:tc>
      </w:tr>
    </w:tbl>
    <w:p>
      <w:pPr>
        <w:spacing w:before="0" w:after="60" w:line="320" w:lineRule="auto"/>
      </w:pP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01</w:t>
      </w:r>
    </w:p>
    <w:p>
      <w:pPr>
        <w:pStyle w:val="Heading1"/>
        <w:keepNext/>
      </w:pPr>
      <w:r>
        <w:t>Novawash hoy: base real del proyecto</w:t>
      </w:r>
    </w:p>
    <w:p>
      <w:pPr>
        <w:spacing w:before="0" w:after="240" w:line="320" w:lineRule="auto"/>
      </w:pPr>
      <w:r>
        <w:rPr>
          <w:rFonts w:ascii="Calibri" w:hAnsi="Calibri"/>
          <w:b w:val="0"/>
          <w:i w:val="0"/>
          <w:color w:val="626A75"/>
          <w:sz w:val="23"/>
        </w:rPr>
        <w:t>La propuesta parte de activos y capacidades existentes; no de una idea puramente conceptual.</w:t>
      </w:r>
    </w:p>
    <w:p>
      <w:pPr>
        <w:pStyle w:val="Heading2"/>
        <w:keepNext/>
      </w:pPr>
      <w:r>
        <w:t>Capacidades confirmadas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Software web con portal de cliente, backoffice, lector QR, registro de clientes y placas.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QR único, saldo, historial, notificaciones y control de lavadas.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Plan básico publicado a $35.000 COP por lavada; plan premium a $50.000 COP al mes con dos lavadas no acumulables y descuento lógico de $25.000 por uso.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Recargas en efectivo por personal y flujo Wompi; backoffice con métricas, filtros y auditoría.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Bono de bienvenida de $10.000 y bono de fidelidad de $25.000 cada diez lavadas, según la lógica actual.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Dominio novawash.com.co, despliegue GitHub–Hostinger, marca visual y materiales comerciales.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Máquina/equipos e ingeniero capaz de diseñar la maquinaria e instalar el sistema de lavado a presión, según declaración de Novawash.</w:t>
      </w:r>
    </w:p>
    <w:p>
      <w:pPr>
        <w:pStyle w:val="Heading2"/>
        <w:keepNext/>
      </w:pPr>
      <w:r>
        <w:t>Arquitectura funcional observada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1500"/>
        <w:gridCol w:w="2550"/>
        <w:gridCol w:w="5310"/>
      </w:tblGrid>
      <w:tr>
        <w:trPr>
          <w:tblHeader w:val="true"/>
        </w:trPr>
        <w:tc>
          <w:tcPr>
            <w:tcW w:type="dxa" w:w="1500"/>
            <w:shd w:fill="20242C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Capa</w:t>
            </w:r>
          </w:p>
        </w:tc>
        <w:tc>
          <w:tcPr>
            <w:tcW w:type="dxa" w:w="2550"/>
            <w:shd w:fill="20242C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5310"/>
            <w:shd w:fill="20242C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Función</w:t>
            </w:r>
          </w:p>
        </w:tc>
      </w:tr>
      <w:tr>
        <w:trPr>
          <w:cantSplit/>
        </w:trPr>
        <w:tc>
          <w:tcPr>
            <w:tcW w:type="dxa" w:w="15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Experiencia</w:t>
            </w:r>
          </w:p>
        </w:tc>
        <w:tc>
          <w:tcPr>
            <w:tcW w:type="dxa" w:w="255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Sitio público</w:t>
            </w:r>
          </w:p>
        </w:tc>
        <w:tc>
          <w:tcPr>
            <w:tcW w:type="dxa" w:w="531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Marca, beneficios, precios al consumidor, registro y captación de interesados.</w:t>
            </w:r>
          </w:p>
        </w:tc>
      </w:tr>
      <w:tr>
        <w:trPr>
          <w:cantSplit/>
        </w:trPr>
        <w:tc>
          <w:tcPr>
            <w:tcW w:type="dxa" w:w="150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Cliente</w:t>
            </w:r>
          </w:p>
        </w:tc>
        <w:tc>
          <w:tcPr>
            <w:tcW w:type="dxa" w:w="255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Portal Novawash</w:t>
            </w:r>
          </w:p>
        </w:tc>
        <w:tc>
          <w:tcPr>
            <w:tcW w:type="dxa" w:w="531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QR, saldo, membresía, Wompi, perfil, fidelidad e historial.</w:t>
            </w:r>
          </w:p>
        </w:tc>
      </w:tr>
      <w:tr>
        <w:trPr>
          <w:cantSplit/>
        </w:trPr>
        <w:tc>
          <w:tcPr>
            <w:tcW w:type="dxa" w:w="15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Operación</w:t>
            </w:r>
          </w:p>
        </w:tc>
        <w:tc>
          <w:tcPr>
            <w:tcW w:type="dxa" w:w="255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Lector QR</w:t>
            </w:r>
          </w:p>
        </w:tc>
        <w:tc>
          <w:tcPr>
            <w:tcW w:type="dxa" w:w="531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Valida al cliente, cobra según plan y confirma la lavada.</w:t>
            </w:r>
          </w:p>
        </w:tc>
      </w:tr>
      <w:tr>
        <w:trPr>
          <w:cantSplit/>
        </w:trPr>
        <w:tc>
          <w:tcPr>
            <w:tcW w:type="dxa" w:w="150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Administración</w:t>
            </w:r>
          </w:p>
        </w:tc>
        <w:tc>
          <w:tcPr>
            <w:tcW w:type="dxa" w:w="255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Backoffice</w:t>
            </w:r>
          </w:p>
        </w:tc>
        <w:tc>
          <w:tcPr>
            <w:tcW w:type="dxa" w:w="531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Usuarios, recargas, métricas, filtros, auditoría y operación manual.</w:t>
            </w:r>
          </w:p>
        </w:tc>
      </w:tr>
      <w:tr>
        <w:trPr>
          <w:cantSplit/>
        </w:trPr>
        <w:tc>
          <w:tcPr>
            <w:tcW w:type="dxa" w:w="15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Datos</w:t>
            </w:r>
          </w:p>
        </w:tc>
        <w:tc>
          <w:tcPr>
            <w:tcW w:type="dxa" w:w="255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Google Apps Script + estado remoto</w:t>
            </w:r>
          </w:p>
        </w:tc>
        <w:tc>
          <w:tcPr>
            <w:tcW w:type="dxa" w:w="531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Persistencia y sincronización con caché local.</w:t>
            </w:r>
          </w:p>
        </w:tc>
      </w:tr>
      <w:tr>
        <w:trPr>
          <w:cantSplit/>
        </w:trPr>
        <w:tc>
          <w:tcPr>
            <w:tcW w:type="dxa" w:w="150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Pagos</w:t>
            </w:r>
          </w:p>
        </w:tc>
        <w:tc>
          <w:tcPr>
            <w:tcW w:type="dxa" w:w="255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Wompi</w:t>
            </w:r>
          </w:p>
        </w:tc>
        <w:tc>
          <w:tcPr>
            <w:tcW w:type="dxa" w:w="531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Creación y confirmación de recargas, sujeta a configuración del backend.</w:t>
            </w:r>
          </w:p>
        </w:tc>
      </w:tr>
      <w:tr>
        <w:trPr>
          <w:cantSplit/>
        </w:trPr>
        <w:tc>
          <w:tcPr>
            <w:tcW w:type="dxa" w:w="15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Hosting</w:t>
            </w:r>
          </w:p>
        </w:tc>
        <w:tc>
          <w:tcPr>
            <w:tcW w:type="dxa" w:w="255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GitHub + Hostinger</w:t>
            </w:r>
          </w:p>
        </w:tc>
        <w:tc>
          <w:tcPr>
            <w:tcW w:type="dxa" w:w="531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Publicación de la aplicación web.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Límites que deben comunicarse</w:t>
      </w:r>
    </w:p>
    <w:p>
      <w:pPr>
        <w:pStyle w:val="ListBullet"/>
        <w:spacing w:after="40" w:line="290" w:lineRule="auto"/>
      </w:pPr>
      <w:r>
        <w:rPr>
          <w:rFonts w:ascii="Calibri" w:hAnsi="Calibri"/>
          <w:color w:val="17191D"/>
          <w:sz w:val="19"/>
        </w:rPr>
        <w:t>La apertura física de la talanquera está planteada, pero no existe evidencia local de integración productiva con relay, PLC o gateway industrial.</w:t>
      </w:r>
    </w:p>
    <w:p>
      <w:pPr>
        <w:pStyle w:val="ListBullet"/>
        <w:spacing w:after="40" w:line="290" w:lineRule="auto"/>
      </w:pPr>
      <w:r>
        <w:rPr>
          <w:rFonts w:ascii="Calibri" w:hAnsi="Calibri"/>
          <w:color w:val="17191D"/>
          <w:sz w:val="19"/>
        </w:rPr>
        <w:t>El software actual es una aplicación web centralizada; no se confirmó aún una arquitectura multiempresa/multisede con aislamiento por operador.</w:t>
      </w:r>
    </w:p>
    <w:p>
      <w:pPr>
        <w:pStyle w:val="ListBullet"/>
        <w:spacing w:after="40" w:line="290" w:lineRule="auto"/>
      </w:pPr>
      <w:r>
        <w:rPr>
          <w:rFonts w:ascii="Calibri" w:hAnsi="Calibri"/>
          <w:color w:val="17191D"/>
          <w:sz w:val="19"/>
        </w:rPr>
        <w:t>No se encontraron costos de fabricación, obra, hidráulica, electricidad, químicos, mantenimiento, garantía ni logística.</w:t>
      </w:r>
    </w:p>
    <w:p>
      <w:pPr>
        <w:pStyle w:val="ListBullet"/>
        <w:spacing w:after="40" w:line="290" w:lineRule="auto"/>
      </w:pPr>
      <w:r>
        <w:rPr>
          <w:rFonts w:ascii="Calibri" w:hAnsi="Calibri"/>
          <w:color w:val="17191D"/>
          <w:sz w:val="19"/>
        </w:rPr>
        <w:t>El sitio menciona Cedritos, Bogotá, pero el negocio también se presenta como “próximamente”; la disponibilidad real del punto debe confirmarse.</w:t>
      </w:r>
    </w:p>
    <w:p>
      <w:pPr>
        <w:pStyle w:val="ListBullet"/>
        <w:spacing w:after="40" w:line="290" w:lineRule="auto"/>
      </w:pPr>
      <w:r>
        <w:rPr>
          <w:rFonts w:ascii="Calibri" w:hAnsi="Calibri"/>
          <w:color w:val="17191D"/>
          <w:sz w:val="19"/>
        </w:rPr>
        <w:t>Las credenciales, seguridad, protección de datos, facturación electrónica y continuidad operativa requieren revisión antes de escalar.</w:t>
      </w: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02</w:t>
      </w:r>
    </w:p>
    <w:p>
      <w:pPr>
        <w:pStyle w:val="Heading1"/>
        <w:keepNext/>
      </w:pPr>
      <w:r>
        <w:t>Qué vende Novawash</w:t>
      </w:r>
    </w:p>
    <w:p>
      <w:pPr>
        <w:spacing w:before="0" w:after="240" w:line="320" w:lineRule="auto"/>
      </w:pPr>
      <w:r>
        <w:rPr>
          <w:rFonts w:ascii="Calibri" w:hAnsi="Calibri"/>
          <w:b w:val="0"/>
          <w:i w:val="0"/>
          <w:color w:val="626A75"/>
          <w:sz w:val="23"/>
        </w:rPr>
        <w:t>Una red habilitada por tecnología, instalación y suministro; no solamente una máquina.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FF6A1A"/>
          <w:left w:val="single" w:sz="8" w:space="0" w:color="FF6A1A"/>
          <w:bottom w:val="single" w:sz="8" w:space="0" w:color="FF6A1A"/>
          <w:right w:val="single" w:sz="8" w:space="0" w:color="FF6A1A"/>
          <w:insideH w:val="single" w:sz="8" w:space="0" w:color="FF6A1A"/>
          <w:insideV w:val="single" w:sz="8" w:space="0" w:color="FF6A1A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0E7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FF6A1A"/>
                <w:sz w:val="22"/>
              </w:rPr>
              <w:t>Propuesta de valor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7191D"/>
                <w:sz w:val="21"/>
              </w:rPr>
              <w:t>Novawash diseña, suministra, instala y habilita modelos de lavado vehicular automatizado para que terceros inviertan y operen sedes bajo estándares definidos, con ingresos recurrentes para Novawash por software, soporte, mantenimiento, insumos y expansión.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Cuatro motores de valor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1700"/>
        <w:gridCol w:w="4200"/>
        <w:gridCol w:w="3460"/>
      </w:tblGrid>
      <w:tr>
        <w:trPr>
          <w:tblHeader w:val="true"/>
        </w:trPr>
        <w:tc>
          <w:tcPr>
            <w:tcW w:type="dxa" w:w="17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Motor</w:t>
            </w:r>
          </w:p>
        </w:tc>
        <w:tc>
          <w:tcPr>
            <w:tcW w:type="dxa" w:w="42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Qué entrega Novawash</w:t>
            </w:r>
          </w:p>
        </w:tc>
        <w:tc>
          <w:tcPr>
            <w:tcW w:type="dxa" w:w="346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Cómo genera ingresos Novawash</w:t>
            </w:r>
          </w:p>
        </w:tc>
      </w:tr>
      <w:tr>
        <w:trPr>
          <w:cantSplit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Proyectos</w:t>
            </w:r>
          </w:p>
        </w:tc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Diagnóstico, ingeniería, equipos, montaje, puesta en marcha.</w:t>
            </w:r>
          </w:p>
        </w:tc>
        <w:tc>
          <w:tcPr>
            <w:tcW w:type="dxa" w:w="3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Diseño, suministro, instalación y margen de proyecto.</w:t>
            </w:r>
          </w:p>
        </w:tc>
      </w:tr>
      <w:tr>
        <w:trPr>
          <w:cantSplit/>
        </w:trPr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NovaWash OS</w:t>
            </w:r>
          </w:p>
        </w:tc>
        <w:tc>
          <w:tcPr>
            <w:tcW w:type="dxa" w:w="42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Clientes, QR, planes, pagos, operación, reportes y soporte.</w:t>
            </w:r>
          </w:p>
        </w:tc>
        <w:tc>
          <w:tcPr>
            <w:tcW w:type="dxa" w:w="34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Activación, mensualidad, soporte y posibles módulos.</w:t>
            </w:r>
          </w:p>
        </w:tc>
      </w:tr>
      <w:tr>
        <w:trPr>
          <w:cantSplit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Marca y método</w:t>
            </w:r>
          </w:p>
        </w:tc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Identidad, manuales, capacitación, experiencia y estándares.</w:t>
            </w:r>
          </w:p>
        </w:tc>
        <w:tc>
          <w:tcPr>
            <w:tcW w:type="dxa" w:w="3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Licencia inicial, renovación y fondos aprobados.</w:t>
            </w:r>
          </w:p>
        </w:tc>
      </w:tr>
      <w:tr>
        <w:trPr>
          <w:cantSplit/>
        </w:trPr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Supply &amp; Care</w:t>
            </w:r>
          </w:p>
        </w:tc>
        <w:tc>
          <w:tcPr>
            <w:tcW w:type="dxa" w:w="42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Químicos, repuestos, mantenimiento preventivo y correctivo.</w:t>
            </w:r>
          </w:p>
        </w:tc>
        <w:tc>
          <w:tcPr>
            <w:tcW w:type="dxa" w:w="34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Margen recurrente de suministros y servicios.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Qué aporta cada parte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Novawash aporta</w:t>
            </w:r>
          </w:p>
        </w:tc>
        <w:tc>
          <w:tcPr>
            <w:tcW w:type="dxa" w:w="468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El inversionista u operador aporta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Marca y lineamientos de experiencia.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Capital de inversión y capital de trabajo.</w:t>
            </w:r>
          </w:p>
        </w:tc>
      </w:tr>
      <w:tr>
        <w:trPr>
          <w:cantSplit/>
        </w:trPr>
        <w:tc>
          <w:tcPr>
            <w:tcW w:type="dxa" w:w="468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Software, configuración y capacitación.</w:t>
            </w:r>
          </w:p>
        </w:tc>
        <w:tc>
          <w:tcPr>
            <w:tcW w:type="dxa" w:w="468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Local, contrato de arrendamiento o propiedad.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Ingeniería de maquinaria y lavado a presión.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Permisos, servicios públicos y adecuaciones a su cargo.</w:t>
            </w:r>
          </w:p>
        </w:tc>
      </w:tr>
      <w:tr>
        <w:trPr>
          <w:cantSplit/>
        </w:trPr>
        <w:tc>
          <w:tcPr>
            <w:tcW w:type="dxa" w:w="468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Equipos y montaje según alcance contratado.</w:t>
            </w:r>
          </w:p>
        </w:tc>
        <w:tc>
          <w:tcPr>
            <w:tcW w:type="dxa" w:w="468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Equipo humano y operación diaria, salvo acuerdo distinto.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Proveedores, insumos y mantenimiento contratados.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Cumplimiento local, seguridad y calidad operacional.</w:t>
            </w:r>
          </w:p>
        </w:tc>
      </w:tr>
      <w:tr>
        <w:trPr>
          <w:cantSplit/>
        </w:trPr>
        <w:tc>
          <w:tcPr>
            <w:tcW w:type="dxa" w:w="468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Soporte de apertura y seguimiento.</w:t>
            </w:r>
          </w:p>
        </w:tc>
        <w:tc>
          <w:tcPr>
            <w:tcW w:type="dxa" w:w="468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Información veraz de la ubicación y resultados operativos.</w:t>
            </w:r>
          </w:p>
        </w:tc>
      </w:tr>
    </w:tbl>
    <w:p>
      <w:pPr>
        <w:spacing w:before="0" w:after="60" w:line="320" w:lineRule="auto"/>
      </w:pP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03</w:t>
      </w:r>
    </w:p>
    <w:p>
      <w:pPr>
        <w:pStyle w:val="Heading1"/>
        <w:keepNext/>
      </w:pPr>
      <w:r>
        <w:t>Comparación de modelos</w:t>
      </w:r>
    </w:p>
    <w:p>
      <w:pPr>
        <w:spacing w:before="0" w:after="240" w:line="320" w:lineRule="auto"/>
      </w:pPr>
      <w:r>
        <w:rPr>
          <w:rFonts w:ascii="Calibri" w:hAnsi="Calibri"/>
          <w:b w:val="0"/>
          <w:i w:val="0"/>
          <w:color w:val="626A75"/>
          <w:sz w:val="23"/>
        </w:rPr>
        <w:t>La elección depende principalmente del estado del local, la capacidad técnica del operador y el nivel de marca deseado.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1500"/>
        <w:gridCol w:w="1965"/>
        <w:gridCol w:w="1965"/>
        <w:gridCol w:w="1965"/>
        <w:gridCol w:w="1965"/>
      </w:tblGrid>
      <w:tr>
        <w:trPr>
          <w:tblHeader w:val="true"/>
        </w:trPr>
        <w:tc>
          <w:tcPr>
            <w:tcW w:type="dxa" w:w="1500"/>
            <w:shd w:fill="FF6A1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Criterio</w:t>
            </w:r>
          </w:p>
        </w:tc>
        <w:tc>
          <w:tcPr>
            <w:tcW w:type="dxa" w:w="1965"/>
            <w:shd w:fill="FF6A1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A. Llave en mano</w:t>
            </w:r>
          </w:p>
        </w:tc>
        <w:tc>
          <w:tcPr>
            <w:tcW w:type="dxa" w:w="1965"/>
            <w:shd w:fill="FF6A1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B. Conversión</w:t>
            </w:r>
          </w:p>
        </w:tc>
        <w:tc>
          <w:tcPr>
            <w:tcW w:type="dxa" w:w="1965"/>
            <w:shd w:fill="FF6A1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C. Licencia + tecnología</w:t>
            </w:r>
          </w:p>
        </w:tc>
        <w:tc>
          <w:tcPr>
            <w:tcW w:type="dxa" w:w="1965"/>
            <w:shd w:fill="FF6A1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D. Software / automatización</w:t>
            </w:r>
          </w:p>
        </w:tc>
      </w:tr>
      <w:tr>
        <w:trPr>
          <w:cantSplit/>
        </w:trP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Marca al público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Novawash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Novawash o co-branding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Novawash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Marca del cliente</w:t>
            </w:r>
          </w:p>
        </w:tc>
      </w:tr>
      <w:tr>
        <w:trPr>
          <w:cantSplit/>
        </w:trPr>
        <w:tc>
          <w:tcPr>
            <w:tcW w:type="dxa" w:w="1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Local existente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No necesariamente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Sí, obligatorio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Sí o por conseguir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Sí, operación existente</w:t>
            </w:r>
          </w:p>
        </w:tc>
      </w:tr>
      <w:tr>
        <w:trPr>
          <w:cantSplit/>
        </w:trP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Maquinaria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Nueva / suministrada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Se reutiliza y complementa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Según alcance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Fuera de alcance o integración</w:t>
            </w:r>
          </w:p>
        </w:tc>
      </w:tr>
      <w:tr>
        <w:trPr>
          <w:cantSplit/>
        </w:trPr>
        <w:tc>
          <w:tcPr>
            <w:tcW w:type="dxa" w:w="1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Obra y montaje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Integral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Selectivo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Compartido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Mínimo / hardware</w:t>
            </w:r>
          </w:p>
        </w:tc>
      </w:tr>
      <w:tr>
        <w:trPr>
          <w:cantSplit/>
        </w:trP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Software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Completo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Completo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Completo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Licencia tecnológica</w:t>
            </w:r>
          </w:p>
        </w:tc>
      </w:tr>
      <w:tr>
        <w:trPr>
          <w:cantSplit/>
        </w:trPr>
        <w:tc>
          <w:tcPr>
            <w:tcW w:type="dxa" w:w="1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Licencia de marca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Sí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Sí o parcial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Sí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No, salvo co-branding</w:t>
            </w:r>
          </w:p>
        </w:tc>
      </w:tr>
      <w:tr>
        <w:trPr>
          <w:cantSplit/>
        </w:trP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Inversión relativa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Más alta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Media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Media/alta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Más baja</w:t>
            </w:r>
          </w:p>
        </w:tc>
      </w:tr>
      <w:tr>
        <w:trPr>
          <w:cantSplit/>
        </w:trPr>
        <w:tc>
          <w:tcPr>
            <w:tcW w:type="dxa" w:w="1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Tiempo relativo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Más largo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Medio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Medio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Más corto</w:t>
            </w:r>
          </w:p>
        </w:tc>
      </w:tr>
      <w:tr>
        <w:trPr>
          <w:cantSplit/>
        </w:trP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Ingresos recurrentes Novawash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Software, marca, soporte, químicos, mantenimiento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Software, soporte, químicos, mantenimiento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Software, marca, soporte</w:t>
            </w:r>
          </w:p>
        </w:tc>
        <w:tc>
          <w:tcPr>
            <w:tcW w:type="dxa" w:w="19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Software, soporte, hardware y mantenimiento</w:t>
            </w:r>
          </w:p>
        </w:tc>
      </w:tr>
      <w:tr>
        <w:trPr>
          <w:cantSplit/>
        </w:trPr>
        <w:tc>
          <w:tcPr>
            <w:tcW w:type="dxa" w:w="1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Mejor para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Inversionista nuevo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Lavadero tradicional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Operador con ejecución propia</w:t>
            </w:r>
          </w:p>
        </w:tc>
        <w:tc>
          <w:tcPr>
            <w:tcW w:type="dxa" w:w="1965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Tercero que conserva su marca</w:t>
            </w:r>
          </w:p>
        </w:tc>
      </w:tr>
    </w:tbl>
    <w:p>
      <w:pPr>
        <w:spacing w:before="0" w:after="60" w:line="32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0242C"/>
          <w:left w:val="single" w:sz="8" w:space="0" w:color="20242C"/>
          <w:bottom w:val="single" w:sz="8" w:space="0" w:color="20242C"/>
          <w:right w:val="single" w:sz="8" w:space="0" w:color="20242C"/>
          <w:insideH w:val="single" w:sz="8" w:space="0" w:color="20242C"/>
          <w:insideV w:val="single" w:sz="8" w:space="0" w:color="20242C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7F8FA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20242C"/>
                <w:sz w:val="22"/>
              </w:rPr>
              <w:t>No se cotiza solo con esta tabla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7191D"/>
                <w:sz w:val="21"/>
              </w:rPr>
              <w:t>Todos los modelos requieren diagnóstico técnico y validación de ubicación. Una cotización sin caudal, energía, drenaje, área, normatividad, accesos y equipos existentes sería preliminar.</w:t>
            </w:r>
          </w:p>
        </w:tc>
      </w:tr>
    </w:tbl>
    <w:p>
      <w:pPr>
        <w:spacing w:before="0" w:after="60" w:line="320" w:lineRule="auto"/>
      </w:pP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04A</w:t>
      </w:r>
    </w:p>
    <w:p>
      <w:pPr>
        <w:pStyle w:val="Heading1"/>
        <w:keepNext/>
      </w:pPr>
      <w:r>
        <w:t>Modelo A — Sede Novawash completa / llave en mano</w:t>
      </w:r>
    </w:p>
    <w:p>
      <w:pPr>
        <w:spacing w:before="0" w:after="240" w:line="320" w:lineRule="auto"/>
      </w:pPr>
      <w:r>
        <w:rPr>
          <w:rFonts w:ascii="Calibri" w:hAnsi="Calibri"/>
          <w:b w:val="0"/>
          <w:i w:val="0"/>
          <w:color w:val="626A75"/>
          <w:sz w:val="23"/>
        </w:rPr>
        <w:t>La opción con mayor intervención de Novawash y mayor claridad para un inversionista que comienza desde cero.</w:t>
      </w:r>
    </w:p>
    <w:p>
      <w:pPr>
        <w:pStyle w:val="Heading2"/>
        <w:keepNext/>
      </w:pPr>
      <w:r>
        <w:t>Alcance propuesto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Prefactibilidad comercial y técnica del inmueble.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Layout, flujo vehicular, zonas de espera y señalización.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Ingeniería y suministro del sistema de lavado a presión.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Talanquera, lector QR, hardware local y puesta en marcha, cuando la ingeniería sea aprobada.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Configuración de software, planes, usuarios, pagos y backoffice.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Identidad visual, manual operativo, capacitación y acompañamiento de apertura.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Paquete inicial de químicos, repuestos críticos y mantenimiento.</w:t>
      </w:r>
    </w:p>
    <w:p>
      <w:pPr>
        <w:pStyle w:val="Heading2"/>
        <w:keepNext/>
      </w:pPr>
      <w:r>
        <w:t>Inversión inicial — estructura editable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3400"/>
        <w:gridCol w:w="2300"/>
        <w:gridCol w:w="1850"/>
        <w:gridCol w:w="1810"/>
      </w:tblGrid>
      <w:tr>
        <w:trPr>
          <w:tblHeader w:val="true"/>
        </w:trPr>
        <w:tc>
          <w:tcPr>
            <w:tcW w:type="dxa" w:w="34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Rubro</w:t>
            </w:r>
          </w:p>
        </w:tc>
        <w:tc>
          <w:tcPr>
            <w:tcW w:type="dxa" w:w="23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Responsable de cotizar</w:t>
            </w:r>
          </w:p>
        </w:tc>
        <w:tc>
          <w:tcPr>
            <w:tcW w:type="dxa" w:w="185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Valor COP</w:t>
            </w:r>
          </w:p>
        </w:tc>
        <w:tc>
          <w:tcPr>
            <w:tcW w:type="dxa" w:w="181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</w:tr>
      <w:tr>
        <w:trPr>
          <w:cantSplit/>
        </w:trPr>
        <w:tc>
          <w:tcPr>
            <w:tcW w:type="dxa" w:w="3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Estudio de ubicación e ingeniería</w:t>
            </w:r>
          </w:p>
        </w:tc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Novawash</w:t>
            </w:r>
          </w:p>
        </w:tc>
        <w:tc>
          <w:tcPr>
            <w:tcW w:type="dxa" w:w="18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  <w:tc>
          <w:tcPr>
            <w:tcW w:type="dxa" w:w="18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Pendiente alcance</w:t>
            </w:r>
          </w:p>
        </w:tc>
      </w:tr>
      <w:tr>
        <w:trPr>
          <w:cantSplit/>
        </w:trPr>
        <w:tc>
          <w:tcPr>
            <w:tcW w:type="dxa" w:w="34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Licencia inicial de marca y método</w:t>
            </w:r>
          </w:p>
        </w:tc>
        <w:tc>
          <w:tcPr>
            <w:tcW w:type="dxa" w:w="23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Novawash</w:t>
            </w:r>
          </w:p>
        </w:tc>
        <w:tc>
          <w:tcPr>
            <w:tcW w:type="dxa" w:w="18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  <w:tc>
          <w:tcPr>
            <w:tcW w:type="dxa" w:w="18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Pendiente política</w:t>
            </w:r>
          </w:p>
        </w:tc>
      </w:tr>
      <w:tr>
        <w:trPr>
          <w:cantSplit/>
        </w:trPr>
        <w:tc>
          <w:tcPr>
            <w:tcW w:type="dxa" w:w="3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Maquinaria y sistema a presión</w:t>
            </w:r>
          </w:p>
        </w:tc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Novawash / ingeniero</w:t>
            </w:r>
          </w:p>
        </w:tc>
        <w:tc>
          <w:tcPr>
            <w:tcW w:type="dxa" w:w="18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  <w:tc>
          <w:tcPr>
            <w:tcW w:type="dxa" w:w="18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Pendiente BOM</w:t>
            </w:r>
          </w:p>
        </w:tc>
      </w:tr>
      <w:tr>
        <w:trPr>
          <w:cantSplit/>
        </w:trPr>
        <w:tc>
          <w:tcPr>
            <w:tcW w:type="dxa" w:w="34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Talanquera, lector, gateway y seguridad</w:t>
            </w:r>
          </w:p>
        </w:tc>
        <w:tc>
          <w:tcPr>
            <w:tcW w:type="dxa" w:w="23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Novawash</w:t>
            </w:r>
          </w:p>
        </w:tc>
        <w:tc>
          <w:tcPr>
            <w:tcW w:type="dxa" w:w="18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  <w:tc>
          <w:tcPr>
            <w:tcW w:type="dxa" w:w="18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Pendiente diseño final</w:t>
            </w:r>
          </w:p>
        </w:tc>
      </w:tr>
      <w:tr>
        <w:trPr>
          <w:cantSplit/>
        </w:trPr>
        <w:tc>
          <w:tcPr>
            <w:tcW w:type="dxa" w:w="3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Obra civil, drenajes, pisos y cubierta</w:t>
            </w:r>
          </w:p>
        </w:tc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Contratista aprobado</w:t>
            </w:r>
          </w:p>
        </w:tc>
        <w:tc>
          <w:tcPr>
            <w:tcW w:type="dxa" w:w="18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  <w:tc>
          <w:tcPr>
            <w:tcW w:type="dxa" w:w="18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Depende del local</w:t>
            </w:r>
          </w:p>
        </w:tc>
      </w:tr>
      <w:tr>
        <w:trPr>
          <w:cantSplit/>
        </w:trPr>
        <w:tc>
          <w:tcPr>
            <w:tcW w:type="dxa" w:w="34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Electricidad, hidráulica y tratamiento</w:t>
            </w:r>
          </w:p>
        </w:tc>
        <w:tc>
          <w:tcPr>
            <w:tcW w:type="dxa" w:w="23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Contratista aprobado</w:t>
            </w:r>
          </w:p>
        </w:tc>
        <w:tc>
          <w:tcPr>
            <w:tcW w:type="dxa" w:w="18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  <w:tc>
          <w:tcPr>
            <w:tcW w:type="dxa" w:w="18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Depende del local</w:t>
            </w:r>
          </w:p>
        </w:tc>
      </w:tr>
      <w:tr>
        <w:trPr>
          <w:cantSplit/>
        </w:trPr>
        <w:tc>
          <w:tcPr>
            <w:tcW w:type="dxa" w:w="3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Software, configuración y capacitación</w:t>
            </w:r>
          </w:p>
        </w:tc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Novawash</w:t>
            </w:r>
          </w:p>
        </w:tc>
        <w:tc>
          <w:tcPr>
            <w:tcW w:type="dxa" w:w="18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  <w:tc>
          <w:tcPr>
            <w:tcW w:type="dxa" w:w="18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Pendiente paquete</w:t>
            </w:r>
          </w:p>
        </w:tc>
      </w:tr>
      <w:tr>
        <w:trPr>
          <w:cantSplit/>
        </w:trPr>
        <w:tc>
          <w:tcPr>
            <w:tcW w:type="dxa" w:w="34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Señalización, mobiliario y marca</w:t>
            </w:r>
          </w:p>
        </w:tc>
        <w:tc>
          <w:tcPr>
            <w:tcW w:type="dxa" w:w="23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Novawash / proveedor</w:t>
            </w:r>
          </w:p>
        </w:tc>
        <w:tc>
          <w:tcPr>
            <w:tcW w:type="dxa" w:w="18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  <w:tc>
          <w:tcPr>
            <w:tcW w:type="dxa" w:w="18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Pendiente formato</w:t>
            </w:r>
          </w:p>
        </w:tc>
      </w:tr>
      <w:tr>
        <w:trPr>
          <w:cantSplit/>
        </w:trPr>
        <w:tc>
          <w:tcPr>
            <w:tcW w:type="dxa" w:w="3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Químicos y repuestos de apertura</w:t>
            </w:r>
          </w:p>
        </w:tc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Novawash</w:t>
            </w:r>
          </w:p>
        </w:tc>
        <w:tc>
          <w:tcPr>
            <w:tcW w:type="dxa" w:w="18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  <w:tc>
          <w:tcPr>
            <w:tcW w:type="dxa" w:w="18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Pendiente consumo</w:t>
            </w:r>
          </w:p>
        </w:tc>
      </w:tr>
      <w:tr>
        <w:trPr>
          <w:cantSplit/>
        </w:trPr>
        <w:tc>
          <w:tcPr>
            <w:tcW w:type="dxa" w:w="34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Capital de trabajo y contingencia</w:t>
            </w:r>
          </w:p>
        </w:tc>
        <w:tc>
          <w:tcPr>
            <w:tcW w:type="dxa" w:w="23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Inversionista</w:t>
            </w:r>
          </w:p>
        </w:tc>
        <w:tc>
          <w:tcPr>
            <w:tcW w:type="dxa" w:w="18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  <w:tc>
          <w:tcPr>
            <w:tcW w:type="dxa" w:w="18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Recomendado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Cargos recurrentes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850"/>
        <w:gridCol w:w="1600"/>
        <w:gridCol w:w="3010"/>
        <w:gridCol w:w="1900"/>
      </w:tblGrid>
      <w:tr>
        <w:trPr>
          <w:tblHeader w:val="true"/>
        </w:trPr>
        <w:tc>
          <w:tcPr>
            <w:tcW w:type="dxa" w:w="285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Concepto</w:t>
            </w:r>
          </w:p>
        </w:tc>
        <w:tc>
          <w:tcPr>
            <w:tcW w:type="dxa" w:w="16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Periodicidad</w:t>
            </w:r>
          </w:p>
        </w:tc>
        <w:tc>
          <w:tcPr>
            <w:tcW w:type="dxa" w:w="301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Base sugerida</w:t>
            </w:r>
          </w:p>
        </w:tc>
        <w:tc>
          <w:tcPr>
            <w:tcW w:type="dxa" w:w="19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Valor</w:t>
            </w:r>
          </w:p>
        </w:tc>
      </w:tr>
      <w:tr>
        <w:trPr>
          <w:cantSplit/>
        </w:trPr>
        <w:tc>
          <w:tcPr>
            <w:tcW w:type="dxa" w:w="28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Software Novawash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Mensual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Por sede + módulos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[POR DEFINIR]</w:t>
            </w:r>
          </w:p>
        </w:tc>
      </w:tr>
      <w:tr>
        <w:trPr>
          <w:cantSplit/>
        </w:trPr>
        <w:tc>
          <w:tcPr>
            <w:tcW w:type="dxa" w:w="28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Soporte</w:t>
            </w:r>
          </w:p>
        </w:tc>
        <w:tc>
          <w:tcPr>
            <w:tcW w:type="dxa" w:w="1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Mensual/anual</w:t>
            </w:r>
          </w:p>
        </w:tc>
        <w:tc>
          <w:tcPr>
            <w:tcW w:type="dxa" w:w="30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Nivel de servicio</w:t>
            </w:r>
          </w:p>
        </w:tc>
        <w:tc>
          <w:tcPr>
            <w:tcW w:type="dxa" w:w="1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[POR DEFINIR]</w:t>
            </w:r>
          </w:p>
        </w:tc>
      </w:tr>
      <w:tr>
        <w:trPr>
          <w:cantSplit/>
        </w:trPr>
        <w:tc>
          <w:tcPr>
            <w:tcW w:type="dxa" w:w="28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Licencia de marca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Mensual/anual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Fija o % de ventas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[POR DEFINIR]</w:t>
            </w:r>
          </w:p>
        </w:tc>
      </w:tr>
      <w:tr>
        <w:trPr>
          <w:cantSplit/>
        </w:trPr>
        <w:tc>
          <w:tcPr>
            <w:tcW w:type="dxa" w:w="28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Mantenimiento</w:t>
            </w:r>
          </w:p>
        </w:tc>
        <w:tc>
          <w:tcPr>
            <w:tcW w:type="dxa" w:w="1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Mensual/trimestral</w:t>
            </w:r>
          </w:p>
        </w:tc>
        <w:tc>
          <w:tcPr>
            <w:tcW w:type="dxa" w:w="30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Preventivo + bolsa correctiva</w:t>
            </w:r>
          </w:p>
        </w:tc>
        <w:tc>
          <w:tcPr>
            <w:tcW w:type="dxa" w:w="1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[POR DEFINIR]</w:t>
            </w:r>
          </w:p>
        </w:tc>
      </w:tr>
      <w:tr>
        <w:trPr>
          <w:cantSplit/>
        </w:trPr>
        <w:tc>
          <w:tcPr>
            <w:tcW w:type="dxa" w:w="28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Químicos e insumos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Por consumo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Lista autorizada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[POR DEFINIR]</w:t>
            </w:r>
          </w:p>
        </w:tc>
      </w:tr>
      <w:tr>
        <w:trPr>
          <w:cantSplit/>
        </w:trPr>
        <w:tc>
          <w:tcPr>
            <w:tcW w:type="dxa" w:w="28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Procesamiento de pagos</w:t>
            </w:r>
          </w:p>
        </w:tc>
        <w:tc>
          <w:tcPr>
            <w:tcW w:type="dxa" w:w="1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Por transacción</w:t>
            </w:r>
          </w:p>
        </w:tc>
        <w:tc>
          <w:tcPr>
            <w:tcW w:type="dxa" w:w="30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Tarifa del adquirente</w:t>
            </w:r>
          </w:p>
        </w:tc>
        <w:tc>
          <w:tcPr>
            <w:tcW w:type="dxa" w:w="1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[POR DEFINIR]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Propiedad y responsabilidades</w:t>
      </w:r>
    </w:p>
    <w:p>
      <w:pPr>
        <w:spacing w:before="0" w:after="160" w:line="320" w:lineRule="auto"/>
      </w:pPr>
      <w:r>
        <w:rPr>
          <w:rFonts w:ascii="Calibri" w:hAnsi="Calibri"/>
          <w:b w:val="0"/>
          <w:i w:val="0"/>
          <w:color w:val="17191D"/>
          <w:sz w:val="21"/>
        </w:rPr>
        <w:t>Salvo que el contrato establezca leasing o comodato, el operador sería propietario de los activos físicos pagados; Novawash conservaría marca, software, diseños, documentación, configuraciones y know-how. Las mejoras del local seguirían el contrato de arrendamiento y la ley aplicable.</w:t>
      </w:r>
    </w:p>
    <w:p>
      <w:pPr>
        <w:pStyle w:val="Heading2"/>
        <w:keepNext/>
      </w:pPr>
      <w:r>
        <w:t>Tiempo objetivo</w:t>
      </w:r>
    </w:p>
    <w:p>
      <w:pPr>
        <w:spacing w:before="0" w:after="160" w:line="320" w:lineRule="auto"/>
      </w:pPr>
      <w:r>
        <w:rPr>
          <w:rFonts w:ascii="Calibri" w:hAnsi="Calibri"/>
          <w:b w:val="0"/>
          <w:i w:val="0"/>
          <w:color w:val="17191D"/>
          <w:sz w:val="21"/>
        </w:rPr>
        <w:t>[POR DEFINIR] semanas desde la aprobación de ingeniería, anticipo, permisos y disponibilidad de equipos. El cronograma no empieza con la firma comercial si faltan permisos o diseño técnico.</w:t>
      </w: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04B</w:t>
      </w:r>
    </w:p>
    <w:p>
      <w:pPr>
        <w:pStyle w:val="Heading1"/>
        <w:keepNext/>
      </w:pPr>
      <w:r>
        <w:t>Modelo B — Conversión de lavadero existente</w:t>
      </w:r>
    </w:p>
    <w:p>
      <w:pPr>
        <w:spacing w:before="0" w:after="240" w:line="320" w:lineRule="auto"/>
      </w:pPr>
      <w:r>
        <w:rPr>
          <w:rFonts w:ascii="Calibri" w:hAnsi="Calibri"/>
          <w:b w:val="0"/>
          <w:i w:val="0"/>
          <w:color w:val="626A75"/>
          <w:sz w:val="23"/>
        </w:rPr>
        <w:t>Moderniza una operación real aprovechando infraestructura, clientes y conocimiento local.</w:t>
      </w:r>
    </w:p>
    <w:p>
      <w:pPr>
        <w:pStyle w:val="Heading2"/>
        <w:keepNext/>
      </w:pPr>
      <w:r>
        <w:t>Qué se evalúa antes de aceptar la conversión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Estado, capacidad y seguridad de equipos actuales.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Caudal, presión, almacenamiento, vertimientos y drenajes.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Flujo de ingreso/salida y viabilidad de automatizar acceso.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Base de clientes, precios, reputación, horarios, capacidad y compatibilidad con estándares Novawash.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Situación legal, permisos, arrendamiento, personal y pasivos operativos.</w:t>
      </w:r>
    </w:p>
    <w:p>
      <w:pPr>
        <w:pStyle w:val="Heading2"/>
        <w:keepNext/>
      </w:pPr>
      <w:r>
        <w:t>Paquetes posibles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100"/>
        <w:gridCol w:w="4130"/>
        <w:gridCol w:w="3130"/>
      </w:tblGrid>
      <w:tr>
        <w:trPr>
          <w:tblHeader w:val="true"/>
        </w:trPr>
        <w:tc>
          <w:tcPr>
            <w:tcW w:type="dxa" w:w="21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Paquete</w:t>
            </w:r>
          </w:p>
        </w:tc>
        <w:tc>
          <w:tcPr>
            <w:tcW w:type="dxa" w:w="413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Incluye</w:t>
            </w:r>
          </w:p>
        </w:tc>
        <w:tc>
          <w:tcPr>
            <w:tcW w:type="dxa" w:w="313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No incluye por defecto</w:t>
            </w:r>
          </w:p>
        </w:tc>
      </w:tr>
      <w:tr>
        <w:trPr>
          <w:cantSplit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Conversión esencial</w:t>
            </w:r>
          </w:p>
        </w:tc>
        <w:tc>
          <w:tcPr>
            <w:tcW w:type="dxa" w:w="41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Software, QR, backoffice, capacitación, imagen mínima.</w:t>
            </w:r>
          </w:p>
        </w:tc>
        <w:tc>
          <w:tcPr>
            <w:tcW w:type="dxa" w:w="31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Renovación completa de maquinaria y obra mayor.</w:t>
            </w:r>
          </w:p>
        </w:tc>
      </w:tr>
      <w:tr>
        <w:trPr>
          <w:cantSplit/>
        </w:trPr>
        <w:tc>
          <w:tcPr>
            <w:tcW w:type="dxa" w:w="21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Conversión automatizada</w:t>
            </w:r>
          </w:p>
        </w:tc>
        <w:tc>
          <w:tcPr>
            <w:tcW w:type="dxa" w:w="413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Esencial + talanquera, hardware y sensores aprobados.</w:t>
            </w:r>
          </w:p>
        </w:tc>
        <w:tc>
          <w:tcPr>
            <w:tcW w:type="dxa" w:w="313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Obra estructural no diagnosticada.</w:t>
            </w:r>
          </w:p>
        </w:tc>
      </w:tr>
      <w:tr>
        <w:trPr>
          <w:cantSplit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Conversión integral</w:t>
            </w:r>
          </w:p>
        </w:tc>
        <w:tc>
          <w:tcPr>
            <w:tcW w:type="dxa" w:w="41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Rediseño de proceso, equipos críticos, imagen y apertura.</w:t>
            </w:r>
          </w:p>
        </w:tc>
        <w:tc>
          <w:tcPr>
            <w:tcW w:type="dxa" w:w="31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Rubros no incluidos en cotización final.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Estructura económica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666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Tratamiento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Auditoría y diseño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Tarifa inicial no reembolsable o descontable del proyecto: [POR DEFINIR].</w:t>
            </w:r>
          </w:p>
        </w:tc>
      </w:tr>
      <w:tr>
        <w:trPr>
          <w:cantSplit/>
        </w:trPr>
        <w:tc>
          <w:tcPr>
            <w:tcW w:type="dxa" w:w="2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Equipos reutilizados</w:t>
            </w:r>
          </w:p>
        </w:tc>
        <w:tc>
          <w:tcPr>
            <w:tcW w:type="dxa" w:w="6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Se inventarían, prueban y clasifican; su garantía previa no la asume Novawash.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Equipos nuevos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Se cotizan con instalación, garantía y exclusiones.</w:t>
            </w:r>
          </w:p>
        </w:tc>
      </w:tr>
      <w:tr>
        <w:trPr>
          <w:cantSplit/>
        </w:trPr>
        <w:tc>
          <w:tcPr>
            <w:tcW w:type="dxa" w:w="2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Licencia y software</w:t>
            </w:r>
          </w:p>
        </w:tc>
        <w:tc>
          <w:tcPr>
            <w:tcW w:type="dxa" w:w="6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Activación + mensualidad: [POR DEFINIR].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Marca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Uso sujeto a cumplimiento; canon: [POR DEFINIR].</w:t>
            </w:r>
          </w:p>
        </w:tc>
      </w:tr>
      <w:tr>
        <w:trPr>
          <w:cantSplit/>
        </w:trPr>
        <w:tc>
          <w:tcPr>
            <w:tcW w:type="dxa" w:w="2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Insumos y mantenimiento</w:t>
            </w:r>
          </w:p>
        </w:tc>
        <w:tc>
          <w:tcPr>
            <w:tcW w:type="dxa" w:w="6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Acuerdo recurrente según equipos y volumen.</w:t>
            </w:r>
          </w:p>
        </w:tc>
      </w:tr>
    </w:tbl>
    <w:p>
      <w:pPr>
        <w:spacing w:before="0" w:after="60" w:line="32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37A3B"/>
          <w:left w:val="single" w:sz="8" w:space="0" w:color="237A3B"/>
          <w:bottom w:val="single" w:sz="8" w:space="0" w:color="237A3B"/>
          <w:right w:val="single" w:sz="8" w:space="0" w:color="237A3B"/>
          <w:insideH w:val="single" w:sz="8" w:space="0" w:color="237A3B"/>
          <w:insideV w:val="single" w:sz="8" w:space="0" w:color="237A3B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6EE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237A3B"/>
                <w:sz w:val="22"/>
              </w:rPr>
              <w:t>Ventaja principal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7191D"/>
                <w:sz w:val="21"/>
              </w:rPr>
              <w:t>Reduce CAPEX y tiempo cuando la infraestructura es aprovechable. La conversión no debe aprobarse solo por costo: equipos inseguros, drenajes insuficientes o un flujo vehicular deficiente pueden volverla más costosa que una sede nueva.</w:t>
            </w:r>
          </w:p>
        </w:tc>
      </w:tr>
    </w:tbl>
    <w:p>
      <w:pPr>
        <w:spacing w:before="0" w:after="60" w:line="320" w:lineRule="auto"/>
      </w:pPr>
    </w:p>
    <w:p>
      <w:pPr>
        <w:keepNext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04C</w:t>
      </w:r>
    </w:p>
    <w:p>
      <w:pPr>
        <w:pStyle w:val="Heading1"/>
        <w:keepNext/>
      </w:pPr>
      <w:r>
        <w:t>Modelo C — Licencia de marca + tecnología</w:t>
      </w:r>
    </w:p>
    <w:p>
      <w:pPr>
        <w:spacing w:before="0" w:after="240" w:line="320" w:lineRule="auto"/>
      </w:pPr>
      <w:r>
        <w:rPr>
          <w:rFonts w:ascii="Calibri" w:hAnsi="Calibri"/>
          <w:b w:val="0"/>
          <w:i w:val="0"/>
          <w:color w:val="626A75"/>
          <w:sz w:val="23"/>
        </w:rPr>
        <w:t>El operador ejecuta parte del proyecto, pero adopta el sistema Novawash y opera bajo sus estándares.</w:t>
      </w:r>
    </w:p>
    <w:p>
      <w:pPr>
        <w:pStyle w:val="Heading2"/>
        <w:keepNext/>
      </w:pPr>
      <w:r>
        <w:t>Contenido de la licencia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Derecho limitado, revocable y no transferible de uso de marca en un territorio definido.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Acceso al software Novawash y configuración de la sede.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Manual de identidad, operación, servicio, seguridad y control de calidad.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Plan de capacitación y certificación de apertura.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Lista de equipos, especificaciones y proveedores aprobados.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Auditorías periódicas y plan de corrección.</w:t>
      </w:r>
    </w:p>
    <w:p>
      <w:pPr>
        <w:pStyle w:val="Heading2"/>
        <w:keepNext/>
      </w:pPr>
      <w:r>
        <w:t>Decisiones contractuales por cerrar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20242C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Tema</w:t>
            </w:r>
          </w:p>
        </w:tc>
        <w:tc>
          <w:tcPr>
            <w:tcW w:type="dxa" w:w="6660"/>
            <w:shd w:fill="20242C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Política a definir</w:t>
            </w:r>
          </w:p>
        </w:tc>
      </w:tr>
      <w:tr>
        <w:trPr>
          <w:cantSplit/>
        </w:trPr>
        <w:tc>
          <w:tcPr>
            <w:tcW w:type="dxa" w:w="27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Canon de entrada</w:t>
            </w:r>
          </w:p>
        </w:tc>
        <w:tc>
          <w:tcPr>
            <w:tcW w:type="dxa" w:w="666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$ [POR DEFINIR] por sede.</w:t>
            </w:r>
          </w:p>
        </w:tc>
      </w:tr>
      <w:tr>
        <w:trPr>
          <w:cantSplit/>
        </w:trPr>
        <w:tc>
          <w:tcPr>
            <w:tcW w:type="dxa" w:w="270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Canon periódico</w:t>
            </w:r>
          </w:p>
        </w:tc>
        <w:tc>
          <w:tcPr>
            <w:tcW w:type="dxa" w:w="666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$ [POR DEFINIR] o [POR DEFINIR] % de ventas verificables.</w:t>
            </w:r>
          </w:p>
        </w:tc>
      </w:tr>
      <w:tr>
        <w:trPr>
          <w:cantSplit/>
        </w:trPr>
        <w:tc>
          <w:tcPr>
            <w:tcW w:type="dxa" w:w="27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Duración</w:t>
            </w:r>
          </w:p>
        </w:tc>
        <w:tc>
          <w:tcPr>
            <w:tcW w:type="dxa" w:w="666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[POR DEFINIR] años, renovación sujeta a cumplimiento.</w:t>
            </w:r>
          </w:p>
        </w:tc>
      </w:tr>
      <w:tr>
        <w:trPr>
          <w:cantSplit/>
        </w:trPr>
        <w:tc>
          <w:tcPr>
            <w:tcW w:type="dxa" w:w="270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Territorio</w:t>
            </w:r>
          </w:p>
        </w:tc>
        <w:tc>
          <w:tcPr>
            <w:tcW w:type="dxa" w:w="666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Radio, barrio, ciudad o zona; sin exclusividad automática.</w:t>
            </w:r>
          </w:p>
        </w:tc>
      </w:tr>
      <w:tr>
        <w:trPr>
          <w:cantSplit/>
        </w:trPr>
        <w:tc>
          <w:tcPr>
            <w:tcW w:type="dxa" w:w="27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Compras obligatorias</w:t>
            </w:r>
          </w:p>
        </w:tc>
        <w:tc>
          <w:tcPr>
            <w:tcW w:type="dxa" w:w="666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Químicos, repuestos y elementos críticos: [POR DEFINIR].</w:t>
            </w:r>
          </w:p>
        </w:tc>
      </w:tr>
      <w:tr>
        <w:trPr>
          <w:cantSplit/>
        </w:trPr>
        <w:tc>
          <w:tcPr>
            <w:tcW w:type="dxa" w:w="270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Estándares</w:t>
            </w:r>
          </w:p>
        </w:tc>
        <w:tc>
          <w:tcPr>
            <w:tcW w:type="dxa" w:w="666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Indicadores mínimos de seguridad, disponibilidad, NPS, tiempos y calidad.</w:t>
            </w:r>
          </w:p>
        </w:tc>
      </w:tr>
      <w:tr>
        <w:trPr>
          <w:cantSplit/>
        </w:trPr>
        <w:tc>
          <w:tcPr>
            <w:tcW w:type="dxa" w:w="27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Salida</w:t>
            </w:r>
          </w:p>
        </w:tc>
        <w:tc>
          <w:tcPr>
            <w:tcW w:type="dxa" w:w="666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Desmarque, devolución de materiales, cierre de accesos y tratamiento de datos.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Cuándo escogerlo</w:t>
      </w:r>
    </w:p>
    <w:p>
      <w:pPr>
        <w:spacing w:before="0" w:after="160" w:line="320" w:lineRule="auto"/>
      </w:pPr>
      <w:r>
        <w:rPr>
          <w:rFonts w:ascii="Calibri" w:hAnsi="Calibri"/>
          <w:b w:val="0"/>
          <w:i w:val="0"/>
          <w:color w:val="17191D"/>
          <w:sz w:val="21"/>
        </w:rPr>
        <w:t>Es adecuado cuando el operador tiene experiencia local, contratistas y capacidad de ejecución, pero valora la marca, el software, la ingeniería de referencia y un sistema de calidad. No es adecuado si espera libertad total para cambiar precios, químicos, experiencia o imagen.</w:t>
      </w: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04D</w:t>
      </w:r>
    </w:p>
    <w:p>
      <w:pPr>
        <w:pStyle w:val="Heading1"/>
        <w:keepNext/>
      </w:pPr>
      <w:r>
        <w:t>Modelo D — Software y automatización para lavaderos existentes</w:t>
      </w:r>
    </w:p>
    <w:p>
      <w:pPr>
        <w:spacing w:before="0" w:after="240" w:line="320" w:lineRule="auto"/>
      </w:pPr>
      <w:r>
        <w:rPr>
          <w:rFonts w:ascii="Calibri" w:hAnsi="Calibri"/>
          <w:b w:val="0"/>
          <w:i w:val="0"/>
          <w:color w:val="626A75"/>
          <w:sz w:val="23"/>
        </w:rPr>
        <w:t>El cliente conserva su marca y contrata la capa tecnológica; es el formato de menor fricción comercial.</w:t>
      </w:r>
    </w:p>
    <w:p>
      <w:pPr>
        <w:pStyle w:val="Heading2"/>
        <w:keepNext/>
      </w:pPr>
      <w:r>
        <w:t>Módulos actualmente observados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250"/>
        <w:gridCol w:w="7110"/>
      </w:tblGrid>
      <w:tr>
        <w:trPr>
          <w:tblHeader w:val="true"/>
        </w:trPr>
        <w:tc>
          <w:tcPr>
            <w:tcW w:type="dxa" w:w="225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711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Capacidad</w:t>
            </w:r>
          </w:p>
        </w:tc>
      </w:tr>
      <w:tr>
        <w:trPr>
          <w:cantSplit/>
        </w:trPr>
        <w:tc>
          <w:tcPr>
            <w:tcW w:type="dxa" w:w="2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Clientes</w:t>
            </w:r>
          </w:p>
        </w:tc>
        <w:tc>
          <w:tcPr>
            <w:tcW w:type="dxa" w:w="71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Registro, perfil, placa, correo, teléfono e identificación.</w:t>
            </w:r>
          </w:p>
        </w:tc>
      </w:tr>
      <w:tr>
        <w:trPr>
          <w:cantSplit/>
        </w:trPr>
        <w:tc>
          <w:tcPr>
            <w:tcW w:type="dxa" w:w="22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Cuenta digital</w:t>
            </w:r>
          </w:p>
        </w:tc>
        <w:tc>
          <w:tcPr>
            <w:tcW w:type="dxa" w:w="71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Saldo, recargas, plan, lavadas disponibles e historial.</w:t>
            </w:r>
          </w:p>
        </w:tc>
      </w:tr>
      <w:tr>
        <w:trPr>
          <w:cantSplit/>
        </w:trPr>
        <w:tc>
          <w:tcPr>
            <w:tcW w:type="dxa" w:w="2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QR</w:t>
            </w:r>
          </w:p>
        </w:tc>
        <w:tc>
          <w:tcPr>
            <w:tcW w:type="dxa" w:w="71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Token único, lector y confirmación de cobro.</w:t>
            </w:r>
          </w:p>
        </w:tc>
      </w:tr>
      <w:tr>
        <w:trPr>
          <w:cantSplit/>
        </w:trPr>
        <w:tc>
          <w:tcPr>
            <w:tcW w:type="dxa" w:w="22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Pagos</w:t>
            </w:r>
          </w:p>
        </w:tc>
        <w:tc>
          <w:tcPr>
            <w:tcW w:type="dxa" w:w="71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Efectivo manual y flujo Wompi sujeto a backend configurado.</w:t>
            </w:r>
          </w:p>
        </w:tc>
      </w:tr>
      <w:tr>
        <w:trPr>
          <w:cantSplit/>
        </w:trPr>
        <w:tc>
          <w:tcPr>
            <w:tcW w:type="dxa" w:w="2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Operación</w:t>
            </w:r>
          </w:p>
        </w:tc>
        <w:tc>
          <w:tcPr>
            <w:tcW w:type="dxa" w:w="71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Backoffice, usuarios, planes, métricas, filtros y auditoría.</w:t>
            </w:r>
          </w:p>
        </w:tc>
      </w:tr>
      <w:tr>
        <w:trPr>
          <w:cantSplit/>
        </w:trPr>
        <w:tc>
          <w:tcPr>
            <w:tcW w:type="dxa" w:w="22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Fidelidad</w:t>
            </w:r>
          </w:p>
        </w:tc>
        <w:tc>
          <w:tcPr>
            <w:tcW w:type="dxa" w:w="71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Bono de bienvenida y recompensa por frecuencia.</w:t>
            </w:r>
          </w:p>
        </w:tc>
      </w:tr>
      <w:tr>
        <w:trPr>
          <w:cantSplit/>
        </w:trPr>
        <w:tc>
          <w:tcPr>
            <w:tcW w:type="dxa" w:w="2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Comunicaciones</w:t>
            </w:r>
          </w:p>
        </w:tc>
        <w:tc>
          <w:tcPr>
            <w:tcW w:type="dxa" w:w="71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Notificaciones en portal y captación de lanzamiento.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Alcances comerciales sugeridos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000"/>
        <w:gridCol w:w="4800"/>
        <w:gridCol w:w="2560"/>
      </w:tblGrid>
      <w:tr>
        <w:trPr>
          <w:tblHeader w:val="true"/>
        </w:trPr>
        <w:tc>
          <w:tcPr>
            <w:tcW w:type="dxa" w:w="20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Plan</w:t>
            </w:r>
          </w:p>
        </w:tc>
        <w:tc>
          <w:tcPr>
            <w:tcW w:type="dxa" w:w="48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Incluye</w:t>
            </w:r>
          </w:p>
        </w:tc>
        <w:tc>
          <w:tcPr>
            <w:tcW w:type="dxa" w:w="256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Precio</w:t>
            </w:r>
          </w:p>
        </w:tc>
      </w:tr>
      <w:tr>
        <w:trPr>
          <w:cantSplit/>
        </w:trPr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Software Base</w:t>
            </w:r>
          </w:p>
        </w:tc>
        <w:tc>
          <w:tcPr>
            <w:tcW w:type="dxa" w:w="4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Clientes, QR, saldo, historial y backoffice.</w:t>
            </w:r>
          </w:p>
        </w:tc>
        <w:tc>
          <w:tcPr>
            <w:tcW w:type="dxa" w:w="2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$ [POR DEFINIR] / sede / mes</w:t>
            </w:r>
          </w:p>
        </w:tc>
      </w:tr>
      <w:tr>
        <w:trPr>
          <w:cantSplit/>
        </w:trPr>
        <w:tc>
          <w:tcPr>
            <w:tcW w:type="dxa" w:w="20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Automatización</w:t>
            </w:r>
          </w:p>
        </w:tc>
        <w:tc>
          <w:tcPr>
            <w:tcW w:type="dxa" w:w="4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Base + hardware/gateway/talanquera aprobada.</w:t>
            </w:r>
          </w:p>
        </w:tc>
        <w:tc>
          <w:tcPr>
            <w:tcW w:type="dxa" w:w="25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$ [POR DEFINIR] + instalación</w:t>
            </w:r>
          </w:p>
        </w:tc>
      </w:tr>
      <w:tr>
        <w:trPr>
          <w:cantSplit/>
        </w:trPr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Operación Pro</w:t>
            </w:r>
          </w:p>
        </w:tc>
        <w:tc>
          <w:tcPr>
            <w:tcW w:type="dxa" w:w="4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Base + reportes, SLA y soporte extendido.</w:t>
            </w:r>
          </w:p>
        </w:tc>
        <w:tc>
          <w:tcPr>
            <w:tcW w:type="dxa" w:w="2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$ [POR DEFINIR] / sede / mes</w:t>
            </w:r>
          </w:p>
        </w:tc>
      </w:tr>
      <w:tr>
        <w:trPr>
          <w:cantSplit/>
        </w:trPr>
        <w:tc>
          <w:tcPr>
            <w:tcW w:type="dxa" w:w="20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Marca blanca</w:t>
            </w:r>
          </w:p>
        </w:tc>
        <w:tc>
          <w:tcPr>
            <w:tcW w:type="dxa" w:w="4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Solo después de validar multiempresa, aislamiento y configuración.</w:t>
            </w:r>
          </w:p>
        </w:tc>
        <w:tc>
          <w:tcPr>
            <w:tcW w:type="dxa" w:w="25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ROADMAP — no cotizar aún</w:t>
            </w:r>
          </w:p>
        </w:tc>
      </w:tr>
    </w:tbl>
    <w:p>
      <w:pPr>
        <w:spacing w:before="0" w:after="60" w:line="32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9B1C1C"/>
          <w:left w:val="single" w:sz="8" w:space="0" w:color="9B1C1C"/>
          <w:bottom w:val="single" w:sz="8" w:space="0" w:color="9B1C1C"/>
          <w:right w:val="single" w:sz="8" w:space="0" w:color="9B1C1C"/>
          <w:insideH w:val="single" w:sz="8" w:space="0" w:color="9B1C1C"/>
          <w:insideV w:val="single" w:sz="8" w:space="0" w:color="9B1C1C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CEBEC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9B1C1C"/>
                <w:sz w:val="22"/>
              </w:rPr>
              <w:t>Requisito técnico antes de escalar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7191D"/>
                <w:sz w:val="21"/>
              </w:rPr>
              <w:t>El producto debe evolucionar a cuentas por empresa y sede, roles, seguridad, copias de respaldo, monitoreo, facturación y configuración separada. El código actual demuestra el flujo, pero no confirma todavía una plataforma SaaS multioperador.</w:t>
            </w:r>
          </w:p>
        </w:tc>
      </w:tr>
    </w:tbl>
    <w:p>
      <w:pPr>
        <w:spacing w:before="0" w:after="60" w:line="320" w:lineRule="auto"/>
      </w:pP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05</w:t>
      </w:r>
    </w:p>
    <w:p>
      <w:pPr>
        <w:pStyle w:val="Heading1"/>
        <w:keepNext/>
      </w:pPr>
      <w:r>
        <w:t>Programa Sede Fundadora #001</w:t>
      </w:r>
    </w:p>
    <w:p>
      <w:pPr>
        <w:spacing w:before="0" w:after="240" w:line="320" w:lineRule="auto"/>
      </w:pPr>
      <w:r>
        <w:rPr>
          <w:rFonts w:ascii="Calibri" w:hAnsi="Calibri"/>
          <w:b w:val="0"/>
          <w:i w:val="0"/>
          <w:color w:val="626A75"/>
          <w:sz w:val="23"/>
        </w:rPr>
        <w:t>Una forma de validar el modelo sin que Novawash financie la primera sede completa.</w:t>
      </w:r>
    </w:p>
    <w:p>
      <w:pPr>
        <w:pStyle w:val="Heading2"/>
        <w:keepNext/>
      </w:pPr>
      <w:r>
        <w:t>Objetivo</w:t>
      </w:r>
    </w:p>
    <w:p>
      <w:pPr>
        <w:spacing w:before="0" w:after="160" w:line="320" w:lineRule="auto"/>
      </w:pPr>
      <w:r>
        <w:rPr>
          <w:rFonts w:ascii="Calibri" w:hAnsi="Calibri"/>
          <w:b w:val="0"/>
          <w:i w:val="0"/>
          <w:color w:val="17191D"/>
          <w:sz w:val="21"/>
        </w:rPr>
        <w:t>Seleccionar un inversionista que financie y opere la primera sede demostrativa bajo condiciones especiales, a cambio de colaboración estructurada en medición, documentación y mejora del modelo.</w:t>
      </w:r>
    </w:p>
    <w:p>
      <w:pPr>
        <w:pStyle w:val="Heading2"/>
        <w:keepNext/>
      </w:pPr>
      <w:r>
        <w:t>Beneficios potenciales para el fundador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Descuento o congelación temporal de licencia: [POR DEFINIR].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Acompañamiento ampliado de ingeniería y apertura.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Participación prioritaria en pruebas de producto y nuevos módulos.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Reconocimiento como Sede Fundadora #001, sujeto al uso de marca.</w:t>
      </w:r>
    </w:p>
    <w:p>
      <w:pPr>
        <w:pStyle w:val="Heading2"/>
        <w:keepNext/>
      </w:pPr>
      <w:r>
        <w:t>Contrapartidas necesarias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Permitir medición y uso de datos anonimizados para validar el modelo.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Autorizar fotografías, video y caso de estudio con aprobación previa.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Cumplir protocolos, reportes y auditorías acordados.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No presentar resultados parciales como garantía de red.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0242C"/>
          <w:left w:val="single" w:sz="8" w:space="0" w:color="20242C"/>
          <w:bottom w:val="single" w:sz="8" w:space="0" w:color="20242C"/>
          <w:right w:val="single" w:sz="8" w:space="0" w:color="20242C"/>
          <w:insideH w:val="single" w:sz="8" w:space="0" w:color="20242C"/>
          <w:insideV w:val="single" w:sz="8" w:space="0" w:color="20242C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7F8FA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20242C"/>
                <w:sz w:val="22"/>
              </w:rPr>
              <w:t>No es un descuento abierto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7191D"/>
                <w:sz w:val="21"/>
              </w:rPr>
              <w:t>Las condiciones fundadoras deben limitarse a una sede, un plazo y obligaciones verificables. El contrato debe proteger datos, imagen, propiedad intelectual y salida anticipada.</w:t>
            </w:r>
          </w:p>
        </w:tc>
      </w:tr>
    </w:tbl>
    <w:p>
      <w:pPr>
        <w:spacing w:before="0" w:after="60" w:line="320" w:lineRule="auto"/>
      </w:pP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06</w:t>
      </w:r>
    </w:p>
    <w:p>
      <w:pPr>
        <w:pStyle w:val="Heading1"/>
        <w:keepNext/>
      </w:pPr>
      <w:r>
        <w:t>Ingresos recurrentes para Novawash</w:t>
      </w:r>
    </w:p>
    <w:p>
      <w:pPr>
        <w:spacing w:before="0" w:after="240" w:line="320" w:lineRule="auto"/>
      </w:pPr>
      <w:r>
        <w:rPr>
          <w:rFonts w:ascii="Calibri" w:hAnsi="Calibri"/>
          <w:b w:val="0"/>
          <w:i w:val="0"/>
          <w:color w:val="626A75"/>
          <w:sz w:val="23"/>
        </w:rPr>
        <w:t>El valor de la red proviene de combinar venta inicial y relación de largo plazo.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550"/>
        <w:gridCol w:w="1700"/>
        <w:gridCol w:w="1500"/>
        <w:gridCol w:w="3610"/>
      </w:tblGrid>
      <w:tr>
        <w:trPr>
          <w:tblHeader w:val="true"/>
        </w:trPr>
        <w:tc>
          <w:tcPr>
            <w:tcW w:type="dxa" w:w="255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Ingreso</w:t>
            </w:r>
          </w:p>
        </w:tc>
        <w:tc>
          <w:tcPr>
            <w:tcW w:type="dxa" w:w="17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Momento</w:t>
            </w:r>
          </w:p>
        </w:tc>
        <w:tc>
          <w:tcPr>
            <w:tcW w:type="dxa" w:w="15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Aplica a</w:t>
            </w:r>
          </w:p>
        </w:tc>
        <w:tc>
          <w:tcPr>
            <w:tcW w:type="dxa" w:w="361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Método de cobro</w:t>
            </w:r>
          </w:p>
        </w:tc>
      </w:tr>
      <w:tr>
        <w:trPr>
          <w:cantSplit/>
        </w:trPr>
        <w:tc>
          <w:tcPr>
            <w:tcW w:type="dxa" w:w="2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Estudio e ingeniería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Antes de cotizar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A/B/C</w:t>
            </w:r>
          </w:p>
        </w:tc>
        <w:tc>
          <w:tcPr>
            <w:tcW w:type="dxa" w:w="36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Tarifa fija</w:t>
            </w:r>
          </w:p>
        </w:tc>
      </w:tr>
      <w:tr>
        <w:trPr>
          <w:cantSplit/>
        </w:trPr>
        <w:tc>
          <w:tcPr>
            <w:tcW w:type="dxa" w:w="25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Licencia inicial</w:t>
            </w:r>
          </w:p>
        </w:tc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Firma/apertura</w:t>
            </w:r>
          </w:p>
        </w:tc>
        <w:tc>
          <w:tcPr>
            <w:tcW w:type="dxa" w:w="1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A/B/C</w:t>
            </w:r>
          </w:p>
        </w:tc>
        <w:tc>
          <w:tcPr>
            <w:tcW w:type="dxa" w:w="36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Por sede</w:t>
            </w:r>
          </w:p>
        </w:tc>
      </w:tr>
      <w:tr>
        <w:trPr>
          <w:cantSplit/>
        </w:trPr>
        <w:tc>
          <w:tcPr>
            <w:tcW w:type="dxa" w:w="2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Margen de equipos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Montaje/expansión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A/B/C/D</w:t>
            </w:r>
          </w:p>
        </w:tc>
        <w:tc>
          <w:tcPr>
            <w:tcW w:type="dxa" w:w="36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Dentro del suministro</w:t>
            </w:r>
          </w:p>
        </w:tc>
      </w:tr>
      <w:tr>
        <w:trPr>
          <w:cantSplit/>
        </w:trPr>
        <w:tc>
          <w:tcPr>
            <w:tcW w:type="dxa" w:w="25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Instalación y puesta en marcha</w:t>
            </w:r>
          </w:p>
        </w:tc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Proyecto</w:t>
            </w:r>
          </w:p>
        </w:tc>
        <w:tc>
          <w:tcPr>
            <w:tcW w:type="dxa" w:w="1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A/B/C/D</w:t>
            </w:r>
          </w:p>
        </w:tc>
        <w:tc>
          <w:tcPr>
            <w:tcW w:type="dxa" w:w="36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Por alcance</w:t>
            </w:r>
          </w:p>
        </w:tc>
      </w:tr>
      <w:tr>
        <w:trPr>
          <w:cantSplit/>
        </w:trPr>
        <w:tc>
          <w:tcPr>
            <w:tcW w:type="dxa" w:w="2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Software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Operación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Todos</w:t>
            </w:r>
          </w:p>
        </w:tc>
        <w:tc>
          <w:tcPr>
            <w:tcW w:type="dxa" w:w="36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Mensual por sede/módulos</w:t>
            </w:r>
          </w:p>
        </w:tc>
      </w:tr>
      <w:tr>
        <w:trPr>
          <w:cantSplit/>
        </w:trPr>
        <w:tc>
          <w:tcPr>
            <w:tcW w:type="dxa" w:w="25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Soporte</w:t>
            </w:r>
          </w:p>
        </w:tc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Operación</w:t>
            </w:r>
          </w:p>
        </w:tc>
        <w:tc>
          <w:tcPr>
            <w:tcW w:type="dxa" w:w="1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Todos</w:t>
            </w:r>
          </w:p>
        </w:tc>
        <w:tc>
          <w:tcPr>
            <w:tcW w:type="dxa" w:w="36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Plan mensual/anual</w:t>
            </w:r>
          </w:p>
        </w:tc>
      </w:tr>
      <w:tr>
        <w:trPr>
          <w:cantSplit/>
        </w:trPr>
        <w:tc>
          <w:tcPr>
            <w:tcW w:type="dxa" w:w="2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Licencia de marca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Operación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A/B/C</w:t>
            </w:r>
          </w:p>
        </w:tc>
        <w:tc>
          <w:tcPr>
            <w:tcW w:type="dxa" w:w="36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Fijo o %</w:t>
            </w:r>
          </w:p>
        </w:tc>
      </w:tr>
      <w:tr>
        <w:trPr>
          <w:cantSplit/>
        </w:trPr>
        <w:tc>
          <w:tcPr>
            <w:tcW w:type="dxa" w:w="25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Químicos e insumos</w:t>
            </w:r>
          </w:p>
        </w:tc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Consumo</w:t>
            </w:r>
          </w:p>
        </w:tc>
        <w:tc>
          <w:tcPr>
            <w:tcW w:type="dxa" w:w="1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A/B/C</w:t>
            </w:r>
          </w:p>
        </w:tc>
        <w:tc>
          <w:tcPr>
            <w:tcW w:type="dxa" w:w="36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Venta recurrente</w:t>
            </w:r>
          </w:p>
        </w:tc>
      </w:tr>
      <w:tr>
        <w:trPr>
          <w:cantSplit/>
        </w:trPr>
        <w:tc>
          <w:tcPr>
            <w:tcW w:type="dxa" w:w="2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Mantenimiento y repuestos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Operación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Todos</w:t>
            </w:r>
          </w:p>
        </w:tc>
        <w:tc>
          <w:tcPr>
            <w:tcW w:type="dxa" w:w="36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Plan + correctivos</w:t>
            </w:r>
          </w:p>
        </w:tc>
      </w:tr>
      <w:tr>
        <w:trPr>
          <w:cantSplit/>
        </w:trPr>
        <w:tc>
          <w:tcPr>
            <w:tcW w:type="dxa" w:w="25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Expansión</w:t>
            </w:r>
          </w:p>
        </w:tc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Nuevas sedes</w:t>
            </w:r>
          </w:p>
        </w:tc>
        <w:tc>
          <w:tcPr>
            <w:tcW w:type="dxa" w:w="1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A/B/C</w:t>
            </w:r>
          </w:p>
        </w:tc>
        <w:tc>
          <w:tcPr>
            <w:tcW w:type="dxa" w:w="36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Nuevo proyecto/licencia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Política de precios recomendada</w:t>
      </w:r>
    </w:p>
    <w:p>
      <w:pPr>
        <w:spacing w:before="0" w:after="160" w:line="320" w:lineRule="auto"/>
      </w:pPr>
      <w:r>
        <w:rPr>
          <w:rFonts w:ascii="Calibri" w:hAnsi="Calibri"/>
          <w:b w:val="0"/>
          <w:i w:val="0"/>
          <w:color w:val="17191D"/>
          <w:sz w:val="21"/>
        </w:rPr>
        <w:t>Cada propuesta debe separar costo de terceros, honorarios Novawash, margen comercial, impuestos, contingencia y exclusiones. Si se usa una meta de margen bruto, la fórmula correcta es: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1D5FD1"/>
          <w:left w:val="single" w:sz="8" w:space="0" w:color="1D5FD1"/>
          <w:bottom w:val="single" w:sz="8" w:space="0" w:color="1D5FD1"/>
          <w:right w:val="single" w:sz="8" w:space="0" w:color="1D5FD1"/>
          <w:insideH w:val="single" w:sz="8" w:space="0" w:color="1D5FD1"/>
          <w:insideV w:val="single" w:sz="8" w:space="0" w:color="1D5FD1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0FF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1D5FD1"/>
                <w:sz w:val="22"/>
              </w:rPr>
              <w:t>Precio de venta = costo total directo ÷ (1 − margen bruto objetivo)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7191D"/>
                <w:sz w:val="21"/>
              </w:rPr>
              <w:t>Ejemplo ilustrativo: costo directo $100.000.000 y margen bruto objetivo 50% → precio $200.000.000. Sumar 50% al costo daría $150.000.000 y un margen bruto de 33,3%. Esta fórmula es interna y no reemplaza la cotización.</w:t>
            </w:r>
          </w:p>
        </w:tc>
      </w:tr>
    </w:tbl>
    <w:p>
      <w:pPr>
        <w:spacing w:before="0" w:after="60" w:line="320" w:lineRule="auto"/>
      </w:pP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07</w:t>
      </w:r>
    </w:p>
    <w:p>
      <w:pPr>
        <w:pStyle w:val="Heading1"/>
        <w:keepNext/>
      </w:pPr>
      <w:r>
        <w:t>Responsabilidades por etapa</w:t>
      </w:r>
    </w:p>
    <w:p>
      <w:pPr>
        <w:spacing w:before="0" w:after="240" w:line="320" w:lineRule="auto"/>
      </w:pPr>
      <w:r>
        <w:rPr>
          <w:rFonts w:ascii="Calibri" w:hAnsi="Calibri"/>
          <w:b w:val="0"/>
          <w:i w:val="0"/>
          <w:color w:val="626A75"/>
          <w:sz w:val="23"/>
        </w:rPr>
        <w:t>La cotización final debe convertir esta matriz general en un anexo contractual específico.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200"/>
        <w:gridCol w:w="2380"/>
        <w:gridCol w:w="2770"/>
        <w:gridCol w:w="2010"/>
      </w:tblGrid>
      <w:tr>
        <w:trPr>
          <w:tblHeader w:val="true"/>
        </w:trPr>
        <w:tc>
          <w:tcPr>
            <w:tcW w:type="dxa" w:w="22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Actividad</w:t>
            </w:r>
          </w:p>
        </w:tc>
        <w:tc>
          <w:tcPr>
            <w:tcW w:type="dxa" w:w="238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Novawash</w:t>
            </w:r>
          </w:p>
        </w:tc>
        <w:tc>
          <w:tcPr>
            <w:tcW w:type="dxa" w:w="277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Inversionista / operador</w:t>
            </w:r>
          </w:p>
        </w:tc>
        <w:tc>
          <w:tcPr>
            <w:tcW w:type="dxa" w:w="201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Tercero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Evaluación del local</w:t>
            </w:r>
          </w:p>
        </w:tc>
        <w:tc>
          <w:tcPr>
            <w:tcW w:type="dxa" w:w="23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Lidera metodología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Entrega información y acceso</w:t>
            </w:r>
          </w:p>
        </w:tc>
        <w:tc>
          <w:tcPr>
            <w:tcW w:type="dxa" w:w="2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Ingeniero/contratista</w:t>
            </w:r>
          </w:p>
        </w:tc>
      </w:tr>
      <w:tr>
        <w:trPr>
          <w:cantSplit/>
        </w:trPr>
        <w:tc>
          <w:tcPr>
            <w:tcW w:type="dxa" w:w="22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Diseño técnico</w:t>
            </w:r>
          </w:p>
        </w:tc>
        <w:tc>
          <w:tcPr>
            <w:tcW w:type="dxa" w:w="238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Coordina/aprueba</w:t>
            </w:r>
          </w:p>
        </w:tc>
        <w:tc>
          <w:tcPr>
            <w:tcW w:type="dxa" w:w="277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Aprueba presupuesto</w:t>
            </w:r>
          </w:p>
        </w:tc>
        <w:tc>
          <w:tcPr>
            <w:tcW w:type="dxa" w:w="20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Ingeniero firma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Permisos y uso de suelo</w:t>
            </w:r>
          </w:p>
        </w:tc>
        <w:tc>
          <w:tcPr>
            <w:tcW w:type="dxa" w:w="23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Orienta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Responsable principal</w:t>
            </w:r>
          </w:p>
        </w:tc>
        <w:tc>
          <w:tcPr>
            <w:tcW w:type="dxa" w:w="2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Abogado/gestor</w:t>
            </w:r>
          </w:p>
        </w:tc>
      </w:tr>
      <w:tr>
        <w:trPr>
          <w:cantSplit/>
        </w:trPr>
        <w:tc>
          <w:tcPr>
            <w:tcW w:type="dxa" w:w="22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Obra civil</w:t>
            </w:r>
          </w:p>
        </w:tc>
        <w:tc>
          <w:tcPr>
            <w:tcW w:type="dxa" w:w="238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Supervisa según alcance</w:t>
            </w:r>
          </w:p>
        </w:tc>
        <w:tc>
          <w:tcPr>
            <w:tcW w:type="dxa" w:w="277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Contrata/paga según modelo</w:t>
            </w:r>
          </w:p>
        </w:tc>
        <w:tc>
          <w:tcPr>
            <w:tcW w:type="dxa" w:w="20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Constructor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Equipos y montaje</w:t>
            </w:r>
          </w:p>
        </w:tc>
        <w:tc>
          <w:tcPr>
            <w:tcW w:type="dxa" w:w="23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Suministra/coordina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Recibe y custodia</w:t>
            </w:r>
          </w:p>
        </w:tc>
        <w:tc>
          <w:tcPr>
            <w:tcW w:type="dxa" w:w="2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Fabricante/instalador</w:t>
            </w:r>
          </w:p>
        </w:tc>
      </w:tr>
      <w:tr>
        <w:trPr>
          <w:cantSplit/>
        </w:trPr>
        <w:tc>
          <w:tcPr>
            <w:tcW w:type="dxa" w:w="22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Software</w:t>
            </w:r>
          </w:p>
        </w:tc>
        <w:tc>
          <w:tcPr>
            <w:tcW w:type="dxa" w:w="238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Opera y soporta</w:t>
            </w:r>
          </w:p>
        </w:tc>
        <w:tc>
          <w:tcPr>
            <w:tcW w:type="dxa" w:w="277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Usa correctamente</w:t>
            </w:r>
          </w:p>
        </w:tc>
        <w:tc>
          <w:tcPr>
            <w:tcW w:type="dxa" w:w="20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Proveedor de pagos/hosting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Personal local</w:t>
            </w:r>
          </w:p>
        </w:tc>
        <w:tc>
          <w:tcPr>
            <w:tcW w:type="dxa" w:w="23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Capacita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Contrata y dirige</w:t>
            </w:r>
          </w:p>
        </w:tc>
        <w:tc>
          <w:tcPr>
            <w:tcW w:type="dxa" w:w="2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ARL/seguridad</w:t>
            </w:r>
          </w:p>
        </w:tc>
      </w:tr>
      <w:tr>
        <w:trPr>
          <w:cantSplit/>
        </w:trPr>
        <w:tc>
          <w:tcPr>
            <w:tcW w:type="dxa" w:w="22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Químicos</w:t>
            </w:r>
          </w:p>
        </w:tc>
        <w:tc>
          <w:tcPr>
            <w:tcW w:type="dxa" w:w="238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Especifica/suministra</w:t>
            </w:r>
          </w:p>
        </w:tc>
        <w:tc>
          <w:tcPr>
            <w:tcW w:type="dxa" w:w="277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Almacena y consume</w:t>
            </w:r>
          </w:p>
        </w:tc>
        <w:tc>
          <w:tcPr>
            <w:tcW w:type="dxa" w:w="20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Fabricante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Mantenimiento</w:t>
            </w:r>
          </w:p>
        </w:tc>
        <w:tc>
          <w:tcPr>
            <w:tcW w:type="dxa" w:w="23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Planifica/ejecuta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Facilita y reporta</w:t>
            </w:r>
          </w:p>
        </w:tc>
        <w:tc>
          <w:tcPr>
            <w:tcW w:type="dxa" w:w="2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Técnico autorizado</w:t>
            </w:r>
          </w:p>
        </w:tc>
      </w:tr>
      <w:tr>
        <w:trPr>
          <w:cantSplit/>
        </w:trPr>
        <w:tc>
          <w:tcPr>
            <w:tcW w:type="dxa" w:w="22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Ventas locales</w:t>
            </w:r>
          </w:p>
        </w:tc>
        <w:tc>
          <w:tcPr>
            <w:tcW w:type="dxa" w:w="238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Materiales/red</w:t>
            </w:r>
          </w:p>
        </w:tc>
        <w:tc>
          <w:tcPr>
            <w:tcW w:type="dxa" w:w="277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Ejecución local</w:t>
            </w:r>
          </w:p>
        </w:tc>
        <w:tc>
          <w:tcPr>
            <w:tcW w:type="dxa" w:w="201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Agencia opcional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Datos y privacidad</w:t>
            </w:r>
          </w:p>
        </w:tc>
        <w:tc>
          <w:tcPr>
            <w:tcW w:type="dxa" w:w="23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Plataforma y controles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Consentimiento/uso local</w:t>
            </w:r>
          </w:p>
        </w:tc>
        <w:tc>
          <w:tcPr>
            <w:tcW w:type="dxa" w:w="2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Asesor legal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Regla de aceptación</w:t>
      </w:r>
    </w:p>
    <w:p>
      <w:pPr>
        <w:spacing w:before="0" w:after="160" w:line="320" w:lineRule="auto"/>
      </w:pPr>
      <w:r>
        <w:rPr>
          <w:rFonts w:ascii="Calibri" w:hAnsi="Calibri"/>
          <w:b w:val="0"/>
          <w:i w:val="0"/>
          <w:color w:val="17191D"/>
          <w:sz w:val="21"/>
        </w:rPr>
        <w:t>Ningún elemento debe considerarse incluido por inferencia. Cada propuesta debe tener un cuadro “incluido / no incluido / opcional / responsable”, con cantidad, marca o especificación, garantía y condición de pago.</w:t>
      </w: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08</w:t>
      </w:r>
    </w:p>
    <w:p>
      <w:pPr>
        <w:pStyle w:val="Heading1"/>
        <w:keepNext/>
      </w:pPr>
      <w:r>
        <w:t>Propiedad de activos, software, datos y marca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700"/>
        <w:gridCol w:w="2200"/>
        <w:gridCol w:w="4460"/>
      </w:tblGrid>
      <w:tr>
        <w:trPr>
          <w:tblHeader w:val="true"/>
        </w:trPr>
        <w:tc>
          <w:tcPr>
            <w:tcW w:type="dxa" w:w="27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Activo o derecho</w:t>
            </w:r>
          </w:p>
        </w:tc>
        <w:tc>
          <w:tcPr>
            <w:tcW w:type="dxa" w:w="22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Propiedad propuesta</w:t>
            </w:r>
          </w:p>
        </w:tc>
        <w:tc>
          <w:tcPr>
            <w:tcW w:type="dxa" w:w="446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Condición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Local y mejoras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Inversionista/arrendador</w:t>
            </w:r>
          </w:p>
        </w:tc>
        <w:tc>
          <w:tcPr>
            <w:tcW w:type="dxa" w:w="4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Según título y contrato de arrendamiento.</w:t>
            </w:r>
          </w:p>
        </w:tc>
      </w:tr>
      <w:tr>
        <w:trPr>
          <w:cantSplit/>
        </w:trPr>
        <w:tc>
          <w:tcPr>
            <w:tcW w:type="dxa" w:w="2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Maquinaria comprada</w:t>
            </w:r>
          </w:p>
        </w:tc>
        <w:tc>
          <w:tcPr>
            <w:tcW w:type="dxa" w:w="22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Inversionista</w:t>
            </w:r>
          </w:p>
        </w:tc>
        <w:tc>
          <w:tcPr>
            <w:tcW w:type="dxa" w:w="44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Después del pago total; garantía según proveedor.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Hardware en comodato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Novawash</w:t>
            </w:r>
          </w:p>
        </w:tc>
        <w:tc>
          <w:tcPr>
            <w:tcW w:type="dxa" w:w="4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Solo si el contrato lo define.</w:t>
            </w:r>
          </w:p>
        </w:tc>
      </w:tr>
      <w:tr>
        <w:trPr>
          <w:cantSplit/>
        </w:trPr>
        <w:tc>
          <w:tcPr>
            <w:tcW w:type="dxa" w:w="2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Marca Novawash</w:t>
            </w:r>
          </w:p>
        </w:tc>
        <w:tc>
          <w:tcPr>
            <w:tcW w:type="dxa" w:w="22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Novawash</w:t>
            </w:r>
          </w:p>
        </w:tc>
        <w:tc>
          <w:tcPr>
            <w:tcW w:type="dxa" w:w="44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Licencia limitada; no se transfiere.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Software y código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Novawash</w:t>
            </w:r>
          </w:p>
        </w:tc>
        <w:tc>
          <w:tcPr>
            <w:tcW w:type="dxa" w:w="4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Licencia de uso; sin acceso al código fuente salvo contrato.</w:t>
            </w:r>
          </w:p>
        </w:tc>
      </w:tr>
      <w:tr>
        <w:trPr>
          <w:cantSplit/>
        </w:trPr>
        <w:tc>
          <w:tcPr>
            <w:tcW w:type="dxa" w:w="2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Diseños y manuales</w:t>
            </w:r>
          </w:p>
        </w:tc>
        <w:tc>
          <w:tcPr>
            <w:tcW w:type="dxa" w:w="22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Novawash/licenciantes</w:t>
            </w:r>
          </w:p>
        </w:tc>
        <w:tc>
          <w:tcPr>
            <w:tcW w:type="dxa" w:w="44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Uso limitado a la sede.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Base de clientes local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Definir contractualmente</w:t>
            </w:r>
          </w:p>
        </w:tc>
        <w:tc>
          <w:tcPr>
            <w:tcW w:type="dxa" w:w="4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Accesos, portabilidad y uso al terminar.</w:t>
            </w:r>
          </w:p>
        </w:tc>
      </w:tr>
      <w:tr>
        <w:trPr>
          <w:cantSplit/>
        </w:trPr>
        <w:tc>
          <w:tcPr>
            <w:tcW w:type="dxa" w:w="2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Datos agregados/anonimizados</w:t>
            </w:r>
          </w:p>
        </w:tc>
        <w:tc>
          <w:tcPr>
            <w:tcW w:type="dxa" w:w="22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Novawash</w:t>
            </w:r>
          </w:p>
        </w:tc>
        <w:tc>
          <w:tcPr>
            <w:tcW w:type="dxa" w:w="44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Solo con bases legales y contrato.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Contenido comercial local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Según creación</w:t>
            </w:r>
          </w:p>
        </w:tc>
        <w:tc>
          <w:tcPr>
            <w:tcW w:type="dxa" w:w="4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Uso cruzado sujeto a autorización.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Salida o terminación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Suspensión o cierre de accesos sin afectar exportación legal de datos.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Retiro de marca, señalización y materiales protegidos.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Pago de saldos, soporte de transición y tratamiento de garantías.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Definición de compatibilidad futura del hardware sin Novawash.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No uso de manuales, marca, configuraciones ni secretos empresariales.</w:t>
      </w: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09</w:t>
      </w:r>
    </w:p>
    <w:p>
      <w:pPr>
        <w:pStyle w:val="Heading1"/>
        <w:keepNext/>
      </w:pPr>
      <w:r>
        <w:t>Territorio y exclusividad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FF6A1A"/>
          <w:left w:val="single" w:sz="8" w:space="0" w:color="FF6A1A"/>
          <w:bottom w:val="single" w:sz="8" w:space="0" w:color="FF6A1A"/>
          <w:right w:val="single" w:sz="8" w:space="0" w:color="FF6A1A"/>
          <w:insideH w:val="single" w:sz="8" w:space="0" w:color="FF6A1A"/>
          <w:insideV w:val="single" w:sz="8" w:space="0" w:color="FF6A1A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0E7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FF6A1A"/>
                <w:sz w:val="22"/>
              </w:rPr>
              <w:t>Principio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7191D"/>
                <w:sz w:val="21"/>
              </w:rPr>
              <w:t>La exclusividad no debe entregarse solo por pagar una licencia. Debe estar ligada a apertura, inversión, calidad y metas de desarrollo verificables.</w:t>
            </w:r>
          </w:p>
        </w:tc>
      </w:tr>
    </w:tbl>
    <w:p>
      <w:pPr>
        <w:spacing w:before="0" w:after="60" w:line="320" w:lineRule="auto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666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Definición pendiente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Unidad territorial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Radio en km, barrio, localidad, municipio o ciudad.</w:t>
            </w:r>
          </w:p>
        </w:tc>
      </w:tr>
      <w:tr>
        <w:trPr>
          <w:cantSplit/>
        </w:trPr>
        <w:tc>
          <w:tcPr>
            <w:tcW w:type="dxa" w:w="2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Duración</w:t>
            </w:r>
          </w:p>
        </w:tc>
        <w:tc>
          <w:tcPr>
            <w:tcW w:type="dxa" w:w="6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[POR DEFINIR] meses/años.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Condición de apertura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Sede operativa antes de [POR DEFINIR].</w:t>
            </w:r>
          </w:p>
        </w:tc>
      </w:tr>
      <w:tr>
        <w:trPr>
          <w:cantSplit/>
        </w:trPr>
        <w:tc>
          <w:tcPr>
            <w:tcW w:type="dxa" w:w="2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Desarrollo mínimo</w:t>
            </w:r>
          </w:p>
        </w:tc>
        <w:tc>
          <w:tcPr>
            <w:tcW w:type="dxa" w:w="6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[POR DEFINIR] sedes o ventas en [POR DEFINIR].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Calidad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Cumplimiento de auditorías y disponibilidad mínima.</w:t>
            </w:r>
          </w:p>
        </w:tc>
      </w:tr>
      <w:tr>
        <w:trPr>
          <w:cantSplit/>
        </w:trPr>
        <w:tc>
          <w:tcPr>
            <w:tcW w:type="dxa" w:w="2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Excepciones</w:t>
            </w:r>
          </w:p>
        </w:tc>
        <w:tc>
          <w:tcPr>
            <w:tcW w:type="dxa" w:w="6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E-commerce, B2B, estaciones aliadas, white label y cuentas nacionales.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Pérdida de exclusividad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Incumplimiento, inactividad, mora o reputación crítica.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Orden recomendado</w:t>
      </w:r>
    </w:p>
    <w:p>
      <w:pPr>
        <w:spacing w:before="0" w:after="160" w:line="320" w:lineRule="auto"/>
      </w:pPr>
      <w:r>
        <w:rPr>
          <w:rFonts w:ascii="Calibri" w:hAnsi="Calibri"/>
          <w:b w:val="0"/>
          <w:i w:val="0"/>
          <w:color w:val="17191D"/>
          <w:sz w:val="21"/>
        </w:rPr>
        <w:t>1) reserva de zona durante estudio; 2) territorio provisional durante montaje; 3) exclusividad condicionada después de apertura; 4) revisión anual. La distancia mínima entre sedes debe basarse en demanda y tiempos de desplazamiento, no en una cifra arbitraria.</w:t>
      </w: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10</w:t>
      </w:r>
    </w:p>
    <w:p>
      <w:pPr>
        <w:pStyle w:val="Heading1"/>
        <w:keepNext/>
      </w:pPr>
      <w:r>
        <w:t>Requisitos del local y prefactibilidad técnica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1700"/>
        <w:gridCol w:w="4300"/>
        <w:gridCol w:w="3360"/>
      </w:tblGrid>
      <w:tr>
        <w:trPr>
          <w:tblHeader w:val="true"/>
        </w:trPr>
        <w:tc>
          <w:tcPr>
            <w:tcW w:type="dxa" w:w="17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Categoría</w:t>
            </w:r>
          </w:p>
        </w:tc>
        <w:tc>
          <w:tcPr>
            <w:tcW w:type="dxa" w:w="43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Información requerida</w:t>
            </w:r>
          </w:p>
        </w:tc>
        <w:tc>
          <w:tcPr>
            <w:tcW w:type="dxa" w:w="336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Criterio</w:t>
            </w:r>
          </w:p>
        </w:tc>
      </w:tr>
      <w:tr>
        <w:trPr>
          <w:cantSplit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Ubicación</w:t>
            </w:r>
          </w:p>
        </w:tc>
        <w:tc>
          <w:tcPr>
            <w:tcW w:type="dxa" w:w="4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Dirección, coordenadas, vías, tráfico, competencia.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Evaluación comercial</w:t>
            </w:r>
          </w:p>
        </w:tc>
      </w:tr>
      <w:tr>
        <w:trPr>
          <w:cantSplit/>
        </w:trPr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Área</w:t>
            </w:r>
          </w:p>
        </w:tc>
        <w:tc>
          <w:tcPr>
            <w:tcW w:type="dxa" w:w="43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Lote, frente, fondo, altura, circulación y espera.</w:t>
            </w:r>
          </w:p>
        </w:tc>
        <w:tc>
          <w:tcPr>
            <w:tcW w:type="dxa" w:w="33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[POR DEFINIR] m² mínimos</w:t>
            </w:r>
          </w:p>
        </w:tc>
      </w:tr>
      <w:tr>
        <w:trPr>
          <w:cantSplit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Acceso</w:t>
            </w:r>
          </w:p>
        </w:tc>
        <w:tc>
          <w:tcPr>
            <w:tcW w:type="dxa" w:w="4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Giros, entrada/salida, cola interna, visibilidad.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Sin bloquear vía pública</w:t>
            </w:r>
          </w:p>
        </w:tc>
      </w:tr>
      <w:tr>
        <w:trPr>
          <w:cantSplit/>
        </w:trPr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Agua</w:t>
            </w:r>
          </w:p>
        </w:tc>
        <w:tc>
          <w:tcPr>
            <w:tcW w:type="dxa" w:w="43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Caudal, presión, tanque, costo y continuidad.</w:t>
            </w:r>
          </w:p>
        </w:tc>
        <w:tc>
          <w:tcPr>
            <w:tcW w:type="dxa" w:w="33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Validación de ingeniería</w:t>
            </w:r>
          </w:p>
        </w:tc>
      </w:tr>
      <w:tr>
        <w:trPr>
          <w:cantSplit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Drenaje</w:t>
            </w:r>
          </w:p>
        </w:tc>
        <w:tc>
          <w:tcPr>
            <w:tcW w:type="dxa" w:w="4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Pendientes, trampas, vertimientos y reciclaje.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Cumplimiento ambiental</w:t>
            </w:r>
          </w:p>
        </w:tc>
      </w:tr>
      <w:tr>
        <w:trPr>
          <w:cantSplit/>
        </w:trPr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Energía</w:t>
            </w:r>
          </w:p>
        </w:tc>
        <w:tc>
          <w:tcPr>
            <w:tcW w:type="dxa" w:w="43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Carga disponible, fases, respaldo y tableros.</w:t>
            </w:r>
          </w:p>
        </w:tc>
        <w:tc>
          <w:tcPr>
            <w:tcW w:type="dxa" w:w="33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Memoria eléctrica</w:t>
            </w:r>
          </w:p>
        </w:tc>
      </w:tr>
      <w:tr>
        <w:trPr>
          <w:cantSplit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Estructura</w:t>
            </w:r>
          </w:p>
        </w:tc>
        <w:tc>
          <w:tcPr>
            <w:tcW w:type="dxa" w:w="4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Cubierta, pisos, anclajes, ventilación.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Cálculo cuando aplique</w:t>
            </w:r>
          </w:p>
        </w:tc>
      </w:tr>
      <w:tr>
        <w:trPr>
          <w:cantSplit/>
        </w:trPr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Seguridad</w:t>
            </w:r>
          </w:p>
        </w:tc>
        <w:tc>
          <w:tcPr>
            <w:tcW w:type="dxa" w:w="43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Emergencias, señalización, EPP, CCTV, riesgos.</w:t>
            </w:r>
          </w:p>
        </w:tc>
        <w:tc>
          <w:tcPr>
            <w:tcW w:type="dxa" w:w="33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Plan de seguridad</w:t>
            </w:r>
          </w:p>
        </w:tc>
      </w:tr>
      <w:tr>
        <w:trPr>
          <w:cantSplit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Permisos</w:t>
            </w:r>
          </w:p>
        </w:tc>
        <w:tc>
          <w:tcPr>
            <w:tcW w:type="dxa" w:w="4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Uso de suelo, ambiente, bomberos, publicidad.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Responsable local</w:t>
            </w:r>
          </w:p>
        </w:tc>
      </w:tr>
      <w:tr>
        <w:trPr>
          <w:cantSplit/>
        </w:trPr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Comercial</w:t>
            </w:r>
          </w:p>
        </w:tc>
        <w:tc>
          <w:tcPr>
            <w:tcW w:type="dxa" w:w="43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Ticket, mercado, arriendo, horarios, personal.</w:t>
            </w:r>
          </w:p>
        </w:tc>
        <w:tc>
          <w:tcPr>
            <w:tcW w:type="dxa" w:w="33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Modelo financiero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Documentos mínimos del interesado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Fotos y video del recorrido completo.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Plano o medidas verificables.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Factura o certificado de disponibilidad de servicios.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Borrador de arrendamiento o certificado de tradición.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Información de permisos y restricciones del predio.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Presupuesto disponible y fuente de financiación.</w:t>
      </w: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11</w:t>
      </w:r>
    </w:p>
    <w:p>
      <w:pPr>
        <w:pStyle w:val="Heading1"/>
        <w:keepNext/>
      </w:pPr>
      <w:r>
        <w:t>Proceso desde el interés hasta la apertura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1800"/>
        <w:gridCol w:w="4660"/>
        <w:gridCol w:w="2900"/>
      </w:tblGrid>
      <w:tr>
        <w:trPr>
          <w:tblHeader w:val="true"/>
        </w:trPr>
        <w:tc>
          <w:tcPr>
            <w:tcW w:type="dxa" w:w="18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Etapa</w:t>
            </w:r>
          </w:p>
        </w:tc>
        <w:tc>
          <w:tcPr>
            <w:tcW w:type="dxa" w:w="466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Actividad</w:t>
            </w:r>
          </w:p>
        </w:tc>
        <w:tc>
          <w:tcPr>
            <w:tcW w:type="dxa" w:w="29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Entregable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1. Calificación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Formulario, capital, experiencia, ciudad y modelo preferido.</w:t>
            </w:r>
          </w:p>
        </w:tc>
        <w:tc>
          <w:tcPr>
            <w:tcW w:type="dxa" w:w="2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Interesado calificado</w:t>
            </w:r>
          </w:p>
        </w:tc>
      </w:tr>
      <w:tr>
        <w:trPr>
          <w:cantSplit/>
        </w:trPr>
        <w:tc>
          <w:tcPr>
            <w:tcW w:type="dxa" w:w="1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2. Prefactibilidad</w:t>
            </w:r>
          </w:p>
        </w:tc>
        <w:tc>
          <w:tcPr>
            <w:tcW w:type="dxa" w:w="4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Revisión documental, mercado y restricciones.</w:t>
            </w:r>
          </w:p>
        </w:tc>
        <w:tc>
          <w:tcPr>
            <w:tcW w:type="dxa" w:w="2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Concepto preliminar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3. Visita técnica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Medidas, servicios, drenajes, equipos y flujo.</w:t>
            </w:r>
          </w:p>
        </w:tc>
        <w:tc>
          <w:tcPr>
            <w:tcW w:type="dxa" w:w="2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Informe técnico</w:t>
            </w:r>
          </w:p>
        </w:tc>
      </w:tr>
      <w:tr>
        <w:trPr>
          <w:cantSplit/>
        </w:trPr>
        <w:tc>
          <w:tcPr>
            <w:tcW w:type="dxa" w:w="1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4. Anteproyecto</w:t>
            </w:r>
          </w:p>
        </w:tc>
        <w:tc>
          <w:tcPr>
            <w:tcW w:type="dxa" w:w="4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Layout, alcance, equipos, cronograma y presupuesto.</w:t>
            </w:r>
          </w:p>
        </w:tc>
        <w:tc>
          <w:tcPr>
            <w:tcW w:type="dxa" w:w="2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Propuesta no vinculante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5. Contratos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Licencia, software, obra, equipos, datos y pagos.</w:t>
            </w:r>
          </w:p>
        </w:tc>
        <w:tc>
          <w:tcPr>
            <w:tcW w:type="dxa" w:w="2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Documentos firmados</w:t>
            </w:r>
          </w:p>
        </w:tc>
      </w:tr>
      <w:tr>
        <w:trPr>
          <w:cantSplit/>
        </w:trPr>
        <w:tc>
          <w:tcPr>
            <w:tcW w:type="dxa" w:w="1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6. Ingeniería final</w:t>
            </w:r>
          </w:p>
        </w:tc>
        <w:tc>
          <w:tcPr>
            <w:tcW w:type="dxa" w:w="4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Planos, memorias, BOM y responsables.</w:t>
            </w:r>
          </w:p>
        </w:tc>
        <w:tc>
          <w:tcPr>
            <w:tcW w:type="dxa" w:w="2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Aprobación para ejecutar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7. Montaje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Obra, equipos, hardware, software y pruebas.</w:t>
            </w:r>
          </w:p>
        </w:tc>
        <w:tc>
          <w:tcPr>
            <w:tcW w:type="dxa" w:w="2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Sede instalada</w:t>
            </w:r>
          </w:p>
        </w:tc>
      </w:tr>
      <w:tr>
        <w:trPr>
          <w:cantSplit/>
        </w:trPr>
        <w:tc>
          <w:tcPr>
            <w:tcW w:type="dxa" w:w="1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8. Capacitación</w:t>
            </w:r>
          </w:p>
        </w:tc>
        <w:tc>
          <w:tcPr>
            <w:tcW w:type="dxa" w:w="4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Operación, servicio, seguridad y contingencias.</w:t>
            </w:r>
          </w:p>
        </w:tc>
        <w:tc>
          <w:tcPr>
            <w:tcW w:type="dxa" w:w="2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Equipo certificado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9. Soft opening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Pruebas controladas, ajustes y medición.</w:t>
            </w:r>
          </w:p>
        </w:tc>
        <w:tc>
          <w:tcPr>
            <w:tcW w:type="dxa" w:w="2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Acta de aceptación</w:t>
            </w:r>
          </w:p>
        </w:tc>
      </w:tr>
      <w:tr>
        <w:trPr>
          <w:cantSplit/>
        </w:trPr>
        <w:tc>
          <w:tcPr>
            <w:tcW w:type="dxa" w:w="1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10. Apertura</w:t>
            </w:r>
          </w:p>
        </w:tc>
        <w:tc>
          <w:tcPr>
            <w:tcW w:type="dxa" w:w="4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Lanzamiento, soporte intensivo y seguimiento.</w:t>
            </w:r>
          </w:p>
        </w:tc>
        <w:tc>
          <w:tcPr>
            <w:tcW w:type="dxa" w:w="2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Operación activa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Cronograma base</w:t>
      </w:r>
    </w:p>
    <w:p>
      <w:pPr>
        <w:spacing w:before="0" w:after="160" w:line="320" w:lineRule="auto"/>
      </w:pPr>
      <w:r>
        <w:rPr>
          <w:rFonts w:ascii="Calibri" w:hAnsi="Calibri"/>
          <w:b w:val="0"/>
          <w:i w:val="0"/>
          <w:color w:val="17191D"/>
          <w:sz w:val="21"/>
        </w:rPr>
        <w:t>Tiempo total objetivo: [POR DEFINIR] semanas. Dependencias críticas: permisos, anticipo, importación/fabricación, obra, servicios, integración de talanquera y pruebas. Cualquier fecha comercial debe indicar estas condiciones.</w:t>
      </w: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12</w:t>
      </w:r>
    </w:p>
    <w:p>
      <w:pPr>
        <w:pStyle w:val="Heading1"/>
        <w:keepNext/>
      </w:pPr>
      <w:r>
        <w:t>Operación, soporte y mantenimiento</w:t>
      </w:r>
    </w:p>
    <w:p>
      <w:pPr>
        <w:pStyle w:val="Heading2"/>
        <w:keepNext/>
      </w:pPr>
      <w:r>
        <w:t>Modelo operativo mínimo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Checklist diario de apertura, seguridad, presión, químicos, sensores y lector.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Registro de incidentes, paradas, retrabajos y reclamaciones.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Control de consumo por lavada y reposición de químicos.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Conciliación de Wompi, efectivo, saldos y lavadas.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Limpieza de equipos, drenajes y zonas de tránsito.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Auditoría de calidad y revisión de experiencia del cliente.</w:t>
      </w:r>
    </w:p>
    <w:p>
      <w:pPr>
        <w:pStyle w:val="Heading2"/>
        <w:keepNext/>
      </w:pPr>
      <w:r>
        <w:t>Niveles de servicio por definir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600"/>
        <w:gridCol w:w="1500"/>
        <w:gridCol w:w="1600"/>
        <w:gridCol w:w="1960"/>
        <w:gridCol w:w="1700"/>
      </w:tblGrid>
      <w:tr>
        <w:trPr>
          <w:tblHeader w:val="true"/>
        </w:trPr>
        <w:tc>
          <w:tcPr>
            <w:tcW w:type="dxa" w:w="26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Servicio</w:t>
            </w:r>
          </w:p>
        </w:tc>
        <w:tc>
          <w:tcPr>
            <w:tcW w:type="dxa" w:w="15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Horario</w:t>
            </w:r>
          </w:p>
        </w:tc>
        <w:tc>
          <w:tcPr>
            <w:tcW w:type="dxa" w:w="16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Respuesta</w:t>
            </w:r>
          </w:p>
        </w:tc>
        <w:tc>
          <w:tcPr>
            <w:tcW w:type="dxa" w:w="196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Restablecimiento</w:t>
            </w:r>
          </w:p>
        </w:tc>
        <w:tc>
          <w:tcPr>
            <w:tcW w:type="dxa" w:w="17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Precio</w:t>
            </w:r>
          </w:p>
        </w:tc>
      </w:tr>
      <w:tr>
        <w:trPr>
          <w:cantSplit/>
        </w:trP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Soporte software estándar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  <w:tc>
          <w:tcPr>
            <w:tcW w:type="dxa" w:w="1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</w:tr>
      <w:tr>
        <w:trPr>
          <w:cantSplit/>
        </w:trPr>
        <w:tc>
          <w:tcPr>
            <w:tcW w:type="dxa" w:w="2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Incidente crítico de operación</w:t>
            </w:r>
          </w:p>
        </w:tc>
        <w:tc>
          <w:tcPr>
            <w:tcW w:type="dxa" w:w="1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  <w:tc>
          <w:tcPr>
            <w:tcW w:type="dxa" w:w="1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  <w:tc>
          <w:tcPr>
            <w:tcW w:type="dxa" w:w="19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</w:tr>
      <w:tr>
        <w:trPr>
          <w:cantSplit/>
        </w:trP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Mantenimiento preventivo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Programado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Calendario</w:t>
            </w:r>
          </w:p>
        </w:tc>
        <w:tc>
          <w:tcPr>
            <w:tcW w:type="dxa" w:w="1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N/A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</w:tr>
      <w:tr>
        <w:trPr>
          <w:cantSplit/>
        </w:trPr>
        <w:tc>
          <w:tcPr>
            <w:tcW w:type="dxa" w:w="2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Visita técnica</w:t>
            </w:r>
          </w:p>
        </w:tc>
        <w:tc>
          <w:tcPr>
            <w:tcW w:type="dxa" w:w="1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Agenda</w:t>
            </w:r>
          </w:p>
        </w:tc>
        <w:tc>
          <w:tcPr>
            <w:tcW w:type="dxa" w:w="1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  <w:tc>
          <w:tcPr>
            <w:tcW w:type="dxa" w:w="19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Según diagnóstico</w:t>
            </w:r>
          </w:p>
        </w:tc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</w:tr>
      <w:tr>
        <w:trPr>
          <w:cantSplit/>
        </w:trP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Repuesto crítico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Inventario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  <w:tc>
          <w:tcPr>
            <w:tcW w:type="dxa" w:w="1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Según disponibilidad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[POR DEFINIR]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Garantías</w:t>
      </w:r>
    </w:p>
    <w:p>
      <w:pPr>
        <w:spacing w:before="0" w:after="160" w:line="320" w:lineRule="auto"/>
      </w:pPr>
      <w:r>
        <w:rPr>
          <w:rFonts w:ascii="Calibri" w:hAnsi="Calibri"/>
          <w:b w:val="0"/>
          <w:i w:val="0"/>
          <w:color w:val="17191D"/>
          <w:sz w:val="21"/>
        </w:rPr>
        <w:t>La propuesta final debe separar garantía de fabricación, instalación, software y consumibles; indicar exclusiones por mal uso, calidad de agua, energía, químicos no autorizados, golpes, vandalismo y mantenimiento omitido.</w:t>
      </w: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13</w:t>
      </w:r>
    </w:p>
    <w:p>
      <w:pPr>
        <w:pStyle w:val="Heading1"/>
        <w:keepNext/>
      </w:pPr>
      <w:r>
        <w:t>Químicos, insumos y repuestos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400"/>
        <w:gridCol w:w="1350"/>
        <w:gridCol w:w="2150"/>
        <w:gridCol w:w="1500"/>
        <w:gridCol w:w="1100"/>
        <w:gridCol w:w="860"/>
      </w:tblGrid>
      <w:tr>
        <w:trPr>
          <w:tblHeader w:val="true"/>
        </w:trPr>
        <w:tc>
          <w:tcPr>
            <w:tcW w:type="dxa" w:w="24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Familia</w:t>
            </w:r>
          </w:p>
        </w:tc>
        <w:tc>
          <w:tcPr>
            <w:tcW w:type="dxa" w:w="135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Unidad</w:t>
            </w:r>
          </w:p>
        </w:tc>
        <w:tc>
          <w:tcPr>
            <w:tcW w:type="dxa" w:w="215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Consumo objetivo</w:t>
            </w:r>
          </w:p>
        </w:tc>
        <w:tc>
          <w:tcPr>
            <w:tcW w:type="dxa" w:w="15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Proveedor</w:t>
            </w:r>
          </w:p>
        </w:tc>
        <w:tc>
          <w:tcPr>
            <w:tcW w:type="dxa" w:w="11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Precio</w:t>
            </w:r>
          </w:p>
        </w:tc>
        <w:tc>
          <w:tcPr>
            <w:tcW w:type="dxa" w:w="86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Margen</w:t>
            </w:r>
          </w:p>
        </w:tc>
      </w:tr>
      <w:tr>
        <w:trPr>
          <w:cantSplit/>
        </w:trPr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Shampoo / espuma técnica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</w:t>
            </w:r>
          </w:p>
        </w:tc>
        <w:tc>
          <w:tcPr>
            <w:tcW w:type="dxa" w:w="21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 por lavada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</w:t>
            </w:r>
          </w:p>
        </w:tc>
        <w:tc>
          <w:tcPr>
            <w:tcW w:type="dxa" w:w="1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</w:t>
            </w:r>
          </w:p>
        </w:tc>
        <w:tc>
          <w:tcPr>
            <w:tcW w:type="dxa" w:w="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[INTERNO]</w:t>
            </w:r>
          </w:p>
        </w:tc>
      </w:tr>
      <w:tr>
        <w:trPr>
          <w:cantSplit/>
        </w:trPr>
        <w:tc>
          <w:tcPr>
            <w:tcW w:type="dxa" w:w="24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Sellante / protector</w:t>
            </w:r>
          </w:p>
        </w:tc>
        <w:tc>
          <w:tcPr>
            <w:tcW w:type="dxa" w:w="13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</w:t>
            </w:r>
          </w:p>
        </w:tc>
        <w:tc>
          <w:tcPr>
            <w:tcW w:type="dxa" w:w="21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 por lavada</w:t>
            </w:r>
          </w:p>
        </w:tc>
        <w:tc>
          <w:tcPr>
            <w:tcW w:type="dxa" w:w="1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</w:t>
            </w:r>
          </w:p>
        </w:tc>
        <w:tc>
          <w:tcPr>
            <w:tcW w:type="dxa" w:w="11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</w:t>
            </w:r>
          </w:p>
        </w:tc>
        <w:tc>
          <w:tcPr>
            <w:tcW w:type="dxa" w:w="8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[INTERNO]</w:t>
            </w:r>
          </w:p>
        </w:tc>
      </w:tr>
      <w:tr>
        <w:trPr>
          <w:cantSplit/>
        </w:trPr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Desengrasante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</w:t>
            </w:r>
          </w:p>
        </w:tc>
        <w:tc>
          <w:tcPr>
            <w:tcW w:type="dxa" w:w="21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 por lavada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</w:t>
            </w:r>
          </w:p>
        </w:tc>
        <w:tc>
          <w:tcPr>
            <w:tcW w:type="dxa" w:w="1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</w:t>
            </w:r>
          </w:p>
        </w:tc>
        <w:tc>
          <w:tcPr>
            <w:tcW w:type="dxa" w:w="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[INTERNO]</w:t>
            </w:r>
          </w:p>
        </w:tc>
      </w:tr>
      <w:tr>
        <w:trPr>
          <w:cantSplit/>
        </w:trPr>
        <w:tc>
          <w:tcPr>
            <w:tcW w:type="dxa" w:w="24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Ambientador y acabado</w:t>
            </w:r>
          </w:p>
        </w:tc>
        <w:tc>
          <w:tcPr>
            <w:tcW w:type="dxa" w:w="13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</w:t>
            </w:r>
          </w:p>
        </w:tc>
        <w:tc>
          <w:tcPr>
            <w:tcW w:type="dxa" w:w="21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 por lavada</w:t>
            </w:r>
          </w:p>
        </w:tc>
        <w:tc>
          <w:tcPr>
            <w:tcW w:type="dxa" w:w="1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</w:t>
            </w:r>
          </w:p>
        </w:tc>
        <w:tc>
          <w:tcPr>
            <w:tcW w:type="dxa" w:w="11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</w:t>
            </w:r>
          </w:p>
        </w:tc>
        <w:tc>
          <w:tcPr>
            <w:tcW w:type="dxa" w:w="8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[INTERNO]</w:t>
            </w:r>
          </w:p>
        </w:tc>
      </w:tr>
      <w:tr>
        <w:trPr>
          <w:cantSplit/>
        </w:trPr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Filtros y boquillas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</w:t>
            </w:r>
          </w:p>
        </w:tc>
        <w:tc>
          <w:tcPr>
            <w:tcW w:type="dxa" w:w="21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Por horas/ciclos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</w:t>
            </w:r>
          </w:p>
        </w:tc>
        <w:tc>
          <w:tcPr>
            <w:tcW w:type="dxa" w:w="1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</w:t>
            </w:r>
          </w:p>
        </w:tc>
        <w:tc>
          <w:tcPr>
            <w:tcW w:type="dxa" w:w="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[INTERNO]</w:t>
            </w:r>
          </w:p>
        </w:tc>
      </w:tr>
      <w:tr>
        <w:trPr>
          <w:cantSplit/>
        </w:trPr>
        <w:tc>
          <w:tcPr>
            <w:tcW w:type="dxa" w:w="24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Repuestos críticos</w:t>
            </w:r>
          </w:p>
        </w:tc>
        <w:tc>
          <w:tcPr>
            <w:tcW w:type="dxa" w:w="13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Kit por sede</w:t>
            </w:r>
          </w:p>
        </w:tc>
        <w:tc>
          <w:tcPr>
            <w:tcW w:type="dxa" w:w="21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Stock mínimo</w:t>
            </w:r>
          </w:p>
        </w:tc>
        <w:tc>
          <w:tcPr>
            <w:tcW w:type="dxa" w:w="1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</w:t>
            </w:r>
          </w:p>
        </w:tc>
        <w:tc>
          <w:tcPr>
            <w:tcW w:type="dxa" w:w="11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[POR DEFINIR]</w:t>
            </w:r>
          </w:p>
        </w:tc>
        <w:tc>
          <w:tcPr>
            <w:tcW w:type="dxa" w:w="8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[INTERNO]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Política sugerida</w:t>
      </w:r>
    </w:p>
    <w:p>
      <w:pPr>
        <w:spacing w:before="0" w:after="160" w:line="320" w:lineRule="auto"/>
      </w:pPr>
      <w:r>
        <w:rPr>
          <w:rFonts w:ascii="Calibri" w:hAnsi="Calibri"/>
          <w:b w:val="0"/>
          <w:i w:val="0"/>
          <w:color w:val="17191D"/>
          <w:sz w:val="21"/>
        </w:rPr>
        <w:t>Definir una lista de consumibles obligatorios por seguridad, consistencia y garantía; permitir equivalencias solo mediante aprobación escrita. Medir costo químico por lavada, desperdicio, inventario mínimo y días de cobertura.</w:t>
      </w: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14</w:t>
      </w:r>
    </w:p>
    <w:p>
      <w:pPr>
        <w:pStyle w:val="Heading1"/>
        <w:keepNext/>
      </w:pPr>
      <w:r>
        <w:t>Escenarios financieros — método editable</w:t>
      </w:r>
    </w:p>
    <w:p>
      <w:pPr>
        <w:spacing w:before="0" w:after="240" w:line="320" w:lineRule="auto"/>
      </w:pPr>
      <w:r>
        <w:rPr>
          <w:rFonts w:ascii="Calibri" w:hAnsi="Calibri"/>
          <w:b w:val="0"/>
          <w:i w:val="0"/>
          <w:color w:val="626A75"/>
          <w:sz w:val="23"/>
        </w:rPr>
        <w:t>Los escenarios muestran cómo calcular; no sustituyen ventas históricas ni una evaluación de inversión.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1D5FD1"/>
          <w:left w:val="single" w:sz="8" w:space="0" w:color="1D5FD1"/>
          <w:bottom w:val="single" w:sz="8" w:space="0" w:color="1D5FD1"/>
          <w:right w:val="single" w:sz="8" w:space="0" w:color="1D5FD1"/>
          <w:insideH w:val="single" w:sz="8" w:space="0" w:color="1D5FD1"/>
          <w:insideV w:val="single" w:sz="8" w:space="0" w:color="1D5FD1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0FF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1D5FD1"/>
                <w:sz w:val="22"/>
              </w:rPr>
              <w:t>Base ilustrativa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7191D"/>
                <w:sz w:val="21"/>
              </w:rPr>
              <w:t>El software publica $35.000 por lavada básica y $50.000 por dos lavadas premium ($25.000 por uso). Para ilustrar se usa un ticket promedio de $30.000, 26 días operativos y 20/40/70 vehículos diarios. Cambie estos supuestos con datos de la ubicación.</w:t>
            </w:r>
          </w:p>
        </w:tc>
      </w:tr>
    </w:tbl>
    <w:p>
      <w:pPr>
        <w:spacing w:before="0" w:after="60" w:line="320" w:lineRule="auto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1900"/>
        <w:gridCol w:w="1700"/>
        <w:gridCol w:w="1500"/>
        <w:gridCol w:w="1900"/>
        <w:gridCol w:w="2360"/>
      </w:tblGrid>
      <w:tr>
        <w:trPr>
          <w:tblHeader w:val="true"/>
        </w:trPr>
        <w:tc>
          <w:tcPr>
            <w:tcW w:type="dxa" w:w="19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Escenario</w:t>
            </w:r>
          </w:p>
        </w:tc>
        <w:tc>
          <w:tcPr>
            <w:tcW w:type="dxa" w:w="17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Vehículos/día</w:t>
            </w:r>
          </w:p>
        </w:tc>
        <w:tc>
          <w:tcPr>
            <w:tcW w:type="dxa" w:w="15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Días/mes</w:t>
            </w:r>
          </w:p>
        </w:tc>
        <w:tc>
          <w:tcPr>
            <w:tcW w:type="dxa" w:w="19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Ticket medio</w:t>
            </w:r>
          </w:p>
        </w:tc>
        <w:tc>
          <w:tcPr>
            <w:tcW w:type="dxa" w:w="236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Ventas brutas ilustrativas</w:t>
            </w:r>
          </w:p>
        </w:tc>
      </w:tr>
      <w:tr>
        <w:trPr>
          <w:cantSplit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Conservador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20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26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$30.000</w:t>
            </w:r>
          </w:p>
        </w:tc>
        <w:tc>
          <w:tcPr>
            <w:tcW w:type="dxa" w:w="2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$15.600.000</w:t>
            </w:r>
          </w:p>
        </w:tc>
      </w:tr>
      <w:tr>
        <w:trPr>
          <w:cantSplit/>
        </w:trPr>
        <w:tc>
          <w:tcPr>
            <w:tcW w:type="dxa" w:w="1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Base</w:t>
            </w:r>
          </w:p>
        </w:tc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40</w:t>
            </w:r>
          </w:p>
        </w:tc>
        <w:tc>
          <w:tcPr>
            <w:tcW w:type="dxa" w:w="1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26</w:t>
            </w:r>
          </w:p>
        </w:tc>
        <w:tc>
          <w:tcPr>
            <w:tcW w:type="dxa" w:w="1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$30.000</w:t>
            </w:r>
          </w:p>
        </w:tc>
        <w:tc>
          <w:tcPr>
            <w:tcW w:type="dxa" w:w="23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$31.200.000</w:t>
            </w:r>
          </w:p>
        </w:tc>
      </w:tr>
      <w:tr>
        <w:trPr>
          <w:cantSplit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8"/>
              </w:rPr>
              <w:t>Alto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70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26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$30.000</w:t>
            </w:r>
          </w:p>
        </w:tc>
        <w:tc>
          <w:tcPr>
            <w:tcW w:type="dxa" w:w="2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$54.600.000</w:t>
            </w:r>
          </w:p>
        </w:tc>
      </w:tr>
    </w:tbl>
    <w:p>
      <w:pPr>
        <w:spacing w:before="0" w:after="60" w:line="320" w:lineRule="auto"/>
      </w:pPr>
    </w:p>
    <w:p>
      <w:pPr>
        <w:spacing w:before="0" w:after="160" w:line="320" w:lineRule="auto"/>
      </w:pPr>
      <w:r>
        <w:rPr>
          <w:rFonts w:ascii="Calibri" w:hAnsi="Calibri"/>
          <w:b w:val="0"/>
          <w:i/>
          <w:color w:val="626A75"/>
          <w:sz w:val="19"/>
        </w:rPr>
        <w:t>Fórmula: ventas brutas mensuales = vehículos por día × días operativos × ticket promedio.</w:t>
      </w:r>
    </w:p>
    <w:p>
      <w:pPr>
        <w:pStyle w:val="Heading2"/>
        <w:keepNext/>
      </w:pPr>
      <w:r>
        <w:t>Estado de resultados mensual — plantilla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380"/>
        <w:gridCol w:w="2500"/>
        <w:gridCol w:w="1490"/>
        <w:gridCol w:w="1490"/>
        <w:gridCol w:w="1500"/>
      </w:tblGrid>
      <w:tr>
        <w:trPr>
          <w:tblHeader w:val="true"/>
        </w:trPr>
        <w:tc>
          <w:tcPr>
            <w:tcW w:type="dxa" w:w="2380"/>
            <w:shd w:fill="20242C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FFFFFF"/>
                <w:sz w:val="14"/>
              </w:rPr>
              <w:t>Concepto</w:t>
            </w:r>
          </w:p>
        </w:tc>
        <w:tc>
          <w:tcPr>
            <w:tcW w:type="dxa" w:w="2500"/>
            <w:shd w:fill="20242C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FFFFFF"/>
                <w:sz w:val="14"/>
              </w:rPr>
              <w:t>Fórmula</w:t>
            </w:r>
          </w:p>
        </w:tc>
        <w:tc>
          <w:tcPr>
            <w:tcW w:type="dxa" w:w="1490"/>
            <w:shd w:fill="20242C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FFFFFF"/>
                <w:sz w:val="14"/>
              </w:rPr>
              <w:t>Conservador</w:t>
            </w:r>
          </w:p>
        </w:tc>
        <w:tc>
          <w:tcPr>
            <w:tcW w:type="dxa" w:w="1490"/>
            <w:shd w:fill="20242C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FFFFFF"/>
                <w:sz w:val="14"/>
              </w:rPr>
              <w:t>Base</w:t>
            </w:r>
          </w:p>
        </w:tc>
        <w:tc>
          <w:tcPr>
            <w:tcW w:type="dxa" w:w="1500"/>
            <w:shd w:fill="20242C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FFFFFF"/>
                <w:sz w:val="14"/>
              </w:rPr>
              <w:t>Alto</w:t>
            </w:r>
          </w:p>
        </w:tc>
      </w:tr>
      <w:tr>
        <w:trPr>
          <w:cantSplit/>
        </w:trPr>
        <w:tc>
          <w:tcPr>
            <w:tcW w:type="dxa" w:w="238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4"/>
              </w:rPr>
              <w:t>Ventas brutas</w:t>
            </w:r>
          </w:p>
        </w:tc>
        <w:tc>
          <w:tcPr>
            <w:tcW w:type="dxa" w:w="25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Volumen × días × ticket</w:t>
            </w:r>
          </w:p>
        </w:tc>
        <w:tc>
          <w:tcPr>
            <w:tcW w:type="dxa" w:w="149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$15,6 M</w:t>
            </w:r>
          </w:p>
        </w:tc>
        <w:tc>
          <w:tcPr>
            <w:tcW w:type="dxa" w:w="149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$31,2 M</w:t>
            </w:r>
          </w:p>
        </w:tc>
        <w:tc>
          <w:tcPr>
            <w:tcW w:type="dxa" w:w="15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$54,6 M</w:t>
            </w:r>
          </w:p>
        </w:tc>
      </w:tr>
      <w:tr>
        <w:trPr>
          <w:cantSplit/>
        </w:trPr>
        <w:tc>
          <w:tcPr>
            <w:tcW w:type="dxa" w:w="238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4"/>
              </w:rPr>
              <w:t>− IVA/impuestos indirectos</w:t>
            </w:r>
          </w:p>
        </w:tc>
        <w:tc>
          <w:tcPr>
            <w:tcW w:type="dxa" w:w="250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Según régimen</w:t>
            </w:r>
          </w:p>
        </w:tc>
        <w:tc>
          <w:tcPr>
            <w:tcW w:type="dxa" w:w="149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49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50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</w:tr>
      <w:tr>
        <w:trPr>
          <w:cantSplit/>
        </w:trPr>
        <w:tc>
          <w:tcPr>
            <w:tcW w:type="dxa" w:w="238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4"/>
              </w:rPr>
              <w:t>− Pasarela y medios de pago</w:t>
            </w:r>
          </w:p>
        </w:tc>
        <w:tc>
          <w:tcPr>
            <w:tcW w:type="dxa" w:w="25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% × ventas</w:t>
            </w:r>
          </w:p>
        </w:tc>
        <w:tc>
          <w:tcPr>
            <w:tcW w:type="dxa" w:w="149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49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5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</w:tr>
      <w:tr>
        <w:trPr>
          <w:cantSplit/>
        </w:trPr>
        <w:tc>
          <w:tcPr>
            <w:tcW w:type="dxa" w:w="238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4"/>
              </w:rPr>
              <w:t>− Químicos variables</w:t>
            </w:r>
          </w:p>
        </w:tc>
        <w:tc>
          <w:tcPr>
            <w:tcW w:type="dxa" w:w="250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Costo/lavada × volumen</w:t>
            </w:r>
          </w:p>
        </w:tc>
        <w:tc>
          <w:tcPr>
            <w:tcW w:type="dxa" w:w="149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49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50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</w:tr>
      <w:tr>
        <w:trPr>
          <w:cantSplit/>
        </w:trPr>
        <w:tc>
          <w:tcPr>
            <w:tcW w:type="dxa" w:w="238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4"/>
              </w:rPr>
              <w:t>− Agua y energía variables</w:t>
            </w:r>
          </w:p>
        </w:tc>
        <w:tc>
          <w:tcPr>
            <w:tcW w:type="dxa" w:w="25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Costo/lavada × volumen</w:t>
            </w:r>
          </w:p>
        </w:tc>
        <w:tc>
          <w:tcPr>
            <w:tcW w:type="dxa" w:w="149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49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5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</w:tr>
      <w:tr>
        <w:trPr>
          <w:cantSplit/>
        </w:trPr>
        <w:tc>
          <w:tcPr>
            <w:tcW w:type="dxa" w:w="238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4"/>
              </w:rPr>
              <w:t>= Margen de contribución</w:t>
            </w:r>
          </w:p>
        </w:tc>
        <w:tc>
          <w:tcPr>
            <w:tcW w:type="dxa" w:w="250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Ventas − variables</w:t>
            </w:r>
          </w:p>
        </w:tc>
        <w:tc>
          <w:tcPr>
            <w:tcW w:type="dxa" w:w="149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49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50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</w:tr>
      <w:tr>
        <w:trPr>
          <w:cantSplit/>
        </w:trPr>
        <w:tc>
          <w:tcPr>
            <w:tcW w:type="dxa" w:w="238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4"/>
              </w:rPr>
              <w:t>− Nómina</w:t>
            </w:r>
          </w:p>
        </w:tc>
        <w:tc>
          <w:tcPr>
            <w:tcW w:type="dxa" w:w="25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Plantilla y cargas</w:t>
            </w:r>
          </w:p>
        </w:tc>
        <w:tc>
          <w:tcPr>
            <w:tcW w:type="dxa" w:w="149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49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5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</w:tr>
      <w:tr>
        <w:trPr>
          <w:cantSplit/>
        </w:trPr>
        <w:tc>
          <w:tcPr>
            <w:tcW w:type="dxa" w:w="238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4"/>
              </w:rPr>
              <w:t>− Arriendo/administración</w:t>
            </w:r>
          </w:p>
        </w:tc>
        <w:tc>
          <w:tcPr>
            <w:tcW w:type="dxa" w:w="250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Contrato</w:t>
            </w:r>
          </w:p>
        </w:tc>
        <w:tc>
          <w:tcPr>
            <w:tcW w:type="dxa" w:w="149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49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50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</w:tr>
      <w:tr>
        <w:trPr>
          <w:cantSplit/>
        </w:trPr>
        <w:tc>
          <w:tcPr>
            <w:tcW w:type="dxa" w:w="238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4"/>
              </w:rPr>
              <w:t>− Software/licencia/soporte</w:t>
            </w:r>
          </w:p>
        </w:tc>
        <w:tc>
          <w:tcPr>
            <w:tcW w:type="dxa" w:w="25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Contrato Novawash</w:t>
            </w:r>
          </w:p>
        </w:tc>
        <w:tc>
          <w:tcPr>
            <w:tcW w:type="dxa" w:w="149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49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5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</w:tr>
      <w:tr>
        <w:trPr>
          <w:cantSplit/>
        </w:trPr>
        <w:tc>
          <w:tcPr>
            <w:tcW w:type="dxa" w:w="238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4"/>
              </w:rPr>
              <w:t>− Mantenimiento y seguros</w:t>
            </w:r>
          </w:p>
        </w:tc>
        <w:tc>
          <w:tcPr>
            <w:tcW w:type="dxa" w:w="250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Presupuesto</w:t>
            </w:r>
          </w:p>
        </w:tc>
        <w:tc>
          <w:tcPr>
            <w:tcW w:type="dxa" w:w="149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49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50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</w:tr>
      <w:tr>
        <w:trPr>
          <w:cantSplit/>
        </w:trPr>
        <w:tc>
          <w:tcPr>
            <w:tcW w:type="dxa" w:w="238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4"/>
              </w:rPr>
              <w:t>− Otros gastos</w:t>
            </w:r>
          </w:p>
        </w:tc>
        <w:tc>
          <w:tcPr>
            <w:tcW w:type="dxa" w:w="25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Detalle</w:t>
            </w:r>
          </w:p>
        </w:tc>
        <w:tc>
          <w:tcPr>
            <w:tcW w:type="dxa" w:w="149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49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50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</w:tr>
      <w:tr>
        <w:trPr>
          <w:cantSplit/>
        </w:trPr>
        <w:tc>
          <w:tcPr>
            <w:tcW w:type="dxa" w:w="238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/>
                <w:color w:val="17191D"/>
                <w:sz w:val="14"/>
              </w:rPr>
              <w:t>= EBITDA estimado</w:t>
            </w:r>
          </w:p>
        </w:tc>
        <w:tc>
          <w:tcPr>
            <w:tcW w:type="dxa" w:w="250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Contribución − fijos</w:t>
            </w:r>
          </w:p>
        </w:tc>
        <w:tc>
          <w:tcPr>
            <w:tcW w:type="dxa" w:w="149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49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  <w:tc>
          <w:tcPr>
            <w:tcW w:type="dxa" w:w="1500"/>
            <w:shd w:fill="F7F8FA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4"/>
              </w:rPr>
              <w:t>[PEND.]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Indicadores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Punto de equilibrio en lavadas/mes = costos fijos ÷ contribución por lavada.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Recuperación simple = inversión total ÷ flujo de caja mensual estabilizado.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ROI anual = flujo de caja anual ÷ inversión total.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17191D"/>
          <w:sz w:val="21"/>
        </w:rPr>
        <w:t>Sensibilidad mínima: volumen, ticket, arriendo, costo químico, energía/agua y tiempo de parada.</w:t>
      </w:r>
    </w:p>
    <w:p>
      <w:pPr>
        <w:keepNext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15</w:t>
      </w:r>
    </w:p>
    <w:p>
      <w:pPr>
        <w:pStyle w:val="Heading1"/>
        <w:keepNext/>
      </w:pPr>
      <w:r>
        <w:t>Información faltante para cerrar cifras definitivas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1700"/>
        <w:gridCol w:w="5660"/>
        <w:gridCol w:w="2000"/>
      </w:tblGrid>
      <w:tr>
        <w:trPr>
          <w:tblHeader w:val="true"/>
        </w:trPr>
        <w:tc>
          <w:tcPr>
            <w:tcW w:type="dxa" w:w="17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Frente</w:t>
            </w:r>
          </w:p>
        </w:tc>
        <w:tc>
          <w:tcPr>
            <w:tcW w:type="dxa" w:w="566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Dato requerido</w:t>
            </w:r>
          </w:p>
        </w:tc>
        <w:tc>
          <w:tcPr>
            <w:tcW w:type="dxa" w:w="20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Dueño sugerido</w:t>
            </w:r>
          </w:p>
        </w:tc>
      </w:tr>
      <w:tr>
        <w:trPr>
          <w:cantSplit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Fabricación</w:t>
            </w:r>
          </w:p>
        </w:tc>
        <w:tc>
          <w:tcPr>
            <w:tcW w:type="dxa" w:w="5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BOM, costos, capacidad, tiempos, vida útil, garantía y proveedores.</w:t>
            </w:r>
          </w:p>
        </w:tc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Ingeniero Novawash</w:t>
            </w:r>
          </w:p>
        </w:tc>
      </w:tr>
      <w:tr>
        <w:trPr>
          <w:cantSplit/>
        </w:trPr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Montaje</w:t>
            </w:r>
          </w:p>
        </w:tc>
        <w:tc>
          <w:tcPr>
            <w:tcW w:type="dxa" w:w="5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Horas, transporte, viáticos, herramientas, pruebas y aceptación.</w:t>
            </w:r>
          </w:p>
        </w:tc>
        <w:tc>
          <w:tcPr>
            <w:tcW w:type="dxa" w:w="20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Novawash</w:t>
            </w:r>
          </w:p>
        </w:tc>
      </w:tr>
      <w:tr>
        <w:trPr>
          <w:cantSplit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Obra</w:t>
            </w:r>
          </w:p>
        </w:tc>
        <w:tc>
          <w:tcPr>
            <w:tcW w:type="dxa" w:w="5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Especificaciones de piso, drenaje, cubierta, electricidad e hidráulica.</w:t>
            </w:r>
          </w:p>
        </w:tc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Ingeniería</w:t>
            </w:r>
          </w:p>
        </w:tc>
      </w:tr>
      <w:tr>
        <w:trPr>
          <w:cantSplit/>
        </w:trPr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Talanquera</w:t>
            </w:r>
          </w:p>
        </w:tc>
        <w:tc>
          <w:tcPr>
            <w:tcW w:type="dxa" w:w="5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Modelo, control, relay/PLC, gateway, seguridad, internet y fallback.</w:t>
            </w:r>
          </w:p>
        </w:tc>
        <w:tc>
          <w:tcPr>
            <w:tcW w:type="dxa" w:w="20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Tecnología/ingeniería</w:t>
            </w:r>
          </w:p>
        </w:tc>
      </w:tr>
      <w:tr>
        <w:trPr>
          <w:cantSplit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Software</w:t>
            </w:r>
          </w:p>
        </w:tc>
        <w:tc>
          <w:tcPr>
            <w:tcW w:type="dxa" w:w="5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Costo real de hosting, soporte, multiempresa, backups, SLA y roadmap.</w:t>
            </w:r>
          </w:p>
        </w:tc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Novawash</w:t>
            </w:r>
          </w:p>
        </w:tc>
      </w:tr>
      <w:tr>
        <w:trPr>
          <w:cantSplit/>
        </w:trPr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Legal</w:t>
            </w:r>
          </w:p>
        </w:tc>
        <w:tc>
          <w:tcPr>
            <w:tcW w:type="dxa" w:w="5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Titular de marca, contrato, datos, garantías, consumidor y franquicia.</w:t>
            </w:r>
          </w:p>
        </w:tc>
        <w:tc>
          <w:tcPr>
            <w:tcW w:type="dxa" w:w="20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Abogado</w:t>
            </w:r>
          </w:p>
        </w:tc>
      </w:tr>
      <w:tr>
        <w:trPr>
          <w:cantSplit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Químicos</w:t>
            </w:r>
          </w:p>
        </w:tc>
        <w:tc>
          <w:tcPr>
            <w:tcW w:type="dxa" w:w="5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Consumo por ciclo, precio, proveedor, almacenamiento y fichas.</w:t>
            </w:r>
          </w:p>
        </w:tc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Operaciones</w:t>
            </w:r>
          </w:p>
        </w:tc>
      </w:tr>
      <w:tr>
        <w:trPr>
          <w:cantSplit/>
        </w:trPr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Mantenimiento</w:t>
            </w:r>
          </w:p>
        </w:tc>
        <w:tc>
          <w:tcPr>
            <w:tcW w:type="dxa" w:w="5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Frecuencias, repuestos, técnicos, inventario y tarifas.</w:t>
            </w:r>
          </w:p>
        </w:tc>
        <w:tc>
          <w:tcPr>
            <w:tcW w:type="dxa" w:w="20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Ingeniero/operaciones</w:t>
            </w:r>
          </w:p>
        </w:tc>
      </w:tr>
      <w:tr>
        <w:trPr>
          <w:cantSplit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Mercado</w:t>
            </w:r>
          </w:p>
        </w:tc>
        <w:tc>
          <w:tcPr>
            <w:tcW w:type="dxa" w:w="5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Demanda, competencia, ticket, estacionalidad y conversión.</w:t>
            </w:r>
          </w:p>
        </w:tc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Comercial</w:t>
            </w:r>
          </w:p>
        </w:tc>
      </w:tr>
      <w:tr>
        <w:trPr>
          <w:cantSplit/>
        </w:trPr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Operación</w:t>
            </w:r>
          </w:p>
        </w:tc>
        <w:tc>
          <w:tcPr>
            <w:tcW w:type="dxa" w:w="5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Personal por turno, tiempos, capacidad máxima y reprocesos.</w:t>
            </w:r>
          </w:p>
        </w:tc>
        <w:tc>
          <w:tcPr>
            <w:tcW w:type="dxa" w:w="20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Operaciones</w:t>
            </w:r>
          </w:p>
        </w:tc>
      </w:tr>
      <w:tr>
        <w:trPr>
          <w:cantSplit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Finanzas</w:t>
            </w:r>
          </w:p>
        </w:tc>
        <w:tc>
          <w:tcPr>
            <w:tcW w:type="dxa" w:w="5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CAPEX, OPEX, impuestos, financiación, contingencia y capital de trabajo.</w:t>
            </w:r>
          </w:p>
        </w:tc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Finanzas</w:t>
            </w:r>
          </w:p>
        </w:tc>
      </w:tr>
      <w:tr>
        <w:trPr>
          <w:cantSplit/>
        </w:trPr>
        <w:tc>
          <w:tcPr>
            <w:tcW w:type="dxa" w:w="1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Territorio</w:t>
            </w:r>
          </w:p>
        </w:tc>
        <w:tc>
          <w:tcPr>
            <w:tcW w:type="dxa" w:w="5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Radios, metas, derechos, reservas y excepciones.</w:t>
            </w:r>
          </w:p>
        </w:tc>
        <w:tc>
          <w:tcPr>
            <w:tcW w:type="dxa" w:w="20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Dirección</w:t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Prioridad para salir a vender</w:t>
      </w:r>
    </w:p>
    <w:p>
      <w:pPr>
        <w:pStyle w:val="ListNumber"/>
        <w:spacing w:after="80" w:line="290" w:lineRule="auto"/>
      </w:pPr>
      <w:r>
        <w:rPr>
          <w:rFonts w:ascii="Calibri" w:hAnsi="Calibri"/>
          <w:color w:val="17191D"/>
          <w:sz w:val="21"/>
        </w:rPr>
        <w:t>Cerrar una ficha técnica y lista de materiales por formato.</w:t>
      </w:r>
    </w:p>
    <w:p>
      <w:pPr>
        <w:pStyle w:val="ListNumber"/>
        <w:spacing w:after="80" w:line="290" w:lineRule="auto"/>
      </w:pPr>
      <w:r>
        <w:rPr>
          <w:rFonts w:ascii="Calibri" w:hAnsi="Calibri"/>
          <w:color w:val="17191D"/>
          <w:sz w:val="21"/>
        </w:rPr>
        <w:t>Cotizar al menos dos proveedores por rubro crítico.</w:t>
      </w:r>
    </w:p>
    <w:p>
      <w:pPr>
        <w:pStyle w:val="ListNumber"/>
        <w:spacing w:after="80" w:line="290" w:lineRule="auto"/>
      </w:pPr>
      <w:r>
        <w:rPr>
          <w:rFonts w:ascii="Calibri" w:hAnsi="Calibri"/>
          <w:color w:val="17191D"/>
          <w:sz w:val="21"/>
        </w:rPr>
        <w:t>Definir paquetes, precios, anticipos, garantía y exclusiones.</w:t>
      </w:r>
    </w:p>
    <w:p>
      <w:pPr>
        <w:pStyle w:val="ListNumber"/>
        <w:spacing w:after="80" w:line="290" w:lineRule="auto"/>
      </w:pPr>
      <w:r>
        <w:rPr>
          <w:rFonts w:ascii="Calibri" w:hAnsi="Calibri"/>
          <w:color w:val="17191D"/>
          <w:sz w:val="21"/>
        </w:rPr>
        <w:t>Completar contrato de licencia/tecnología y política territorial.</w:t>
      </w:r>
    </w:p>
    <w:p>
      <w:pPr>
        <w:pStyle w:val="ListNumber"/>
        <w:spacing w:after="80" w:line="290" w:lineRule="auto"/>
      </w:pPr>
      <w:r>
        <w:rPr>
          <w:rFonts w:ascii="Calibri" w:hAnsi="Calibri"/>
          <w:color w:val="17191D"/>
          <w:sz w:val="21"/>
        </w:rPr>
        <w:t>Validar un piloto con medición desde el primer día.</w:t>
      </w: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16</w:t>
      </w:r>
    </w:p>
    <w:p>
      <w:pPr>
        <w:pStyle w:val="Heading1"/>
        <w:keepNext/>
      </w:pPr>
      <w:r>
        <w:t>Riesgos, transparencia y marco contractual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676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Tratamiento comercial</w:t>
            </w:r>
          </w:p>
        </w:tc>
      </w:tr>
      <w:tr>
        <w:trPr>
          <w:cantSplit/>
        </w:trP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Sin históricos propios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Usar escenarios y supuestos; nunca prometer rentabilidad.</w:t>
            </w:r>
          </w:p>
        </w:tc>
      </w:tr>
      <w:tr>
        <w:trPr>
          <w:cantSplit/>
        </w:trPr>
        <w:tc>
          <w:tcPr>
            <w:tcW w:type="dxa" w:w="2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Costos variables por local</w:t>
            </w:r>
          </w:p>
        </w:tc>
        <w:tc>
          <w:tcPr>
            <w:tcW w:type="dxa" w:w="67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Cotizar después de visita e ingeniería.</w:t>
            </w:r>
          </w:p>
        </w:tc>
      </w:tr>
      <w:tr>
        <w:trPr>
          <w:cantSplit/>
        </w:trP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Dependencia de terceros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Identificar proveedor, plazo, garantía y reemplazo.</w:t>
            </w:r>
          </w:p>
        </w:tc>
      </w:tr>
      <w:tr>
        <w:trPr>
          <w:cantSplit/>
        </w:trPr>
        <w:tc>
          <w:tcPr>
            <w:tcW w:type="dxa" w:w="2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Integración de talanquera</w:t>
            </w:r>
          </w:p>
        </w:tc>
        <w:tc>
          <w:tcPr>
            <w:tcW w:type="dxa" w:w="67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Prueba de seguridad y aceptación antes de operar.</w:t>
            </w:r>
          </w:p>
        </w:tc>
      </w:tr>
      <w:tr>
        <w:trPr>
          <w:cantSplit/>
        </w:trP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Protección de datos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Consentimientos, roles, seguridad, retención y contrato.</w:t>
            </w:r>
          </w:p>
        </w:tc>
      </w:tr>
      <w:tr>
        <w:trPr>
          <w:cantSplit/>
        </w:trPr>
        <w:tc>
          <w:tcPr>
            <w:tcW w:type="dxa" w:w="2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Caídas de internet/software</w:t>
            </w:r>
          </w:p>
        </w:tc>
        <w:tc>
          <w:tcPr>
            <w:tcW w:type="dxa" w:w="67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Modo contingencia, soporte y registro manual.</w:t>
            </w:r>
          </w:p>
        </w:tc>
      </w:tr>
      <w:tr>
        <w:trPr>
          <w:cantSplit/>
        </w:trP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Daño vehicular/accidente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Protocolos, seguros, exclusiones y evidencias.</w:t>
            </w:r>
          </w:p>
        </w:tc>
      </w:tr>
      <w:tr>
        <w:trPr>
          <w:cantSplit/>
        </w:trPr>
        <w:tc>
          <w:tcPr>
            <w:tcW w:type="dxa" w:w="2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Marca inconsistente</w:t>
            </w:r>
          </w:p>
        </w:tc>
        <w:tc>
          <w:tcPr>
            <w:tcW w:type="dxa" w:w="67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Manual, auditorías y sanciones progresivas.</w:t>
            </w:r>
          </w:p>
        </w:tc>
      </w:tr>
      <w:tr>
        <w:trPr>
          <w:cantSplit/>
        </w:trP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7"/>
              </w:rPr>
              <w:t>Exclusividad prematura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Condicionarla a apertura y desempeño.</w:t>
            </w:r>
          </w:p>
        </w:tc>
      </w:tr>
    </w:tbl>
    <w:p>
      <w:pPr>
        <w:spacing w:before="0" w:after="60" w:line="32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9B1C1C"/>
          <w:left w:val="single" w:sz="8" w:space="0" w:color="9B1C1C"/>
          <w:bottom w:val="single" w:sz="8" w:space="0" w:color="9B1C1C"/>
          <w:right w:val="single" w:sz="8" w:space="0" w:color="9B1C1C"/>
          <w:insideH w:val="single" w:sz="8" w:space="0" w:color="9B1C1C"/>
          <w:insideV w:val="single" w:sz="8" w:space="0" w:color="9B1C1C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CEBEC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9B1C1C"/>
                <w:sz w:val="22"/>
              </w:rPr>
              <w:t>Revisión profesional obligatoria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7191D"/>
                <w:sz w:val="21"/>
              </w:rPr>
              <w:t>Antes de firmar o recaudar dinero, un abogado colombiano debe revisar propiedad intelectual, licencia/franquicia, protección de datos, consumidor, territorio, garantías, seguros, tributación, pagos y declaraciones financieras. Un ingeniero competente debe aprobar diseño, seguridad y cumplimiento técnico.</w:t>
            </w:r>
          </w:p>
        </w:tc>
      </w:tr>
    </w:tbl>
    <w:p>
      <w:pPr>
        <w:spacing w:before="0" w:after="60" w:line="320" w:lineRule="auto"/>
      </w:pP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17</w:t>
      </w:r>
    </w:p>
    <w:p>
      <w:pPr>
        <w:pStyle w:val="Heading1"/>
        <w:keepNext/>
      </w:pPr>
      <w:r>
        <w:t>Formulario de selección del interesado</w:t>
      </w:r>
    </w:p>
    <w:p>
      <w:pPr>
        <w:spacing w:before="0" w:after="240" w:line="320" w:lineRule="auto"/>
      </w:pPr>
      <w:r>
        <w:rPr>
          <w:rFonts w:ascii="Calibri" w:hAnsi="Calibri"/>
          <w:b w:val="0"/>
          <w:i w:val="0"/>
          <w:color w:val="626A75"/>
          <w:sz w:val="23"/>
        </w:rPr>
        <w:t>Complete esta sección para solicitar una evaluación preliminar. Marcar una opción no reserva territorio ni constituye aceptación.</w:t>
      </w:r>
    </w:p>
    <w:p>
      <w:pPr>
        <w:pStyle w:val="Heading2"/>
        <w:keepNext/>
      </w:pPr>
      <w:r>
        <w:t>A. Modelo de interés</w:t>
      </w:r>
    </w:p>
    <w:p>
      <w:pPr>
        <w:spacing w:before="0" w:after="100" w:line="320" w:lineRule="auto"/>
      </w:pPr>
      <w:r>
        <w:rPr>
          <w:rFonts w:ascii="Calibri" w:hAnsi="Calibri"/>
          <w:b w:val="0"/>
          <w:i w:val="0"/>
          <w:color w:val="17191D"/>
          <w:sz w:val="21"/>
        </w:rPr>
        <w:t>☐ A — Sede Novawash completa / llave en mano</w:t>
      </w:r>
    </w:p>
    <w:p>
      <w:pPr>
        <w:spacing w:before="0" w:after="100" w:line="320" w:lineRule="auto"/>
      </w:pPr>
      <w:r>
        <w:rPr>
          <w:rFonts w:ascii="Calibri" w:hAnsi="Calibri"/>
          <w:b w:val="0"/>
          <w:i w:val="0"/>
          <w:color w:val="17191D"/>
          <w:sz w:val="21"/>
        </w:rPr>
        <w:t>☐ B — Conversión de lavadero existente</w:t>
      </w:r>
    </w:p>
    <w:p>
      <w:pPr>
        <w:spacing w:before="0" w:after="100" w:line="320" w:lineRule="auto"/>
      </w:pPr>
      <w:r>
        <w:rPr>
          <w:rFonts w:ascii="Calibri" w:hAnsi="Calibri"/>
          <w:b w:val="0"/>
          <w:i w:val="0"/>
          <w:color w:val="17191D"/>
          <w:sz w:val="21"/>
        </w:rPr>
        <w:t>☐ C — Licencia de marca + tecnología</w:t>
      </w:r>
    </w:p>
    <w:p>
      <w:pPr>
        <w:spacing w:before="0" w:after="100" w:line="320" w:lineRule="auto"/>
      </w:pPr>
      <w:r>
        <w:rPr>
          <w:rFonts w:ascii="Calibri" w:hAnsi="Calibri"/>
          <w:b w:val="0"/>
          <w:i w:val="0"/>
          <w:color w:val="17191D"/>
          <w:sz w:val="21"/>
        </w:rPr>
        <w:t>☐ D — Software y automatización conservando mi marca</w:t>
      </w:r>
    </w:p>
    <w:p>
      <w:pPr>
        <w:spacing w:before="0" w:after="100" w:line="320" w:lineRule="auto"/>
      </w:pPr>
      <w:r>
        <w:rPr>
          <w:rFonts w:ascii="Calibri" w:hAnsi="Calibri"/>
          <w:b w:val="0"/>
          <w:i w:val="0"/>
          <w:color w:val="17191D"/>
          <w:sz w:val="21"/>
        </w:rPr>
        <w:t>☐ Quiero que Novawash recomiende el modelo</w:t>
      </w:r>
    </w:p>
    <w:p>
      <w:pPr>
        <w:spacing w:before="0" w:after="100" w:line="320" w:lineRule="auto"/>
      </w:pPr>
      <w:r>
        <w:rPr>
          <w:rFonts w:ascii="Calibri" w:hAnsi="Calibri"/>
          <w:b w:val="0"/>
          <w:i w:val="0"/>
          <w:color w:val="17191D"/>
          <w:sz w:val="21"/>
        </w:rPr>
        <w:t>☐ Deseo postularme como Sede Fundadora #001</w:t>
      </w:r>
    </w:p>
    <w:p>
      <w:pPr>
        <w:pStyle w:val="Heading2"/>
        <w:keepNext/>
      </w:pPr>
      <w:r>
        <w:t>B. Datos del interesado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Nombre completo / empresa: </w:t>
      </w:r>
      <w:r>
        <w:rPr>
          <w:rFonts w:ascii="Calibri" w:hAnsi="Calibri"/>
          <w:color w:val="626A75"/>
          <w:sz w:val="20"/>
        </w:rPr>
        <w:t>________________________________________________________________________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Identificación / NIT: </w:t>
      </w:r>
      <w:r>
        <w:rPr>
          <w:rFonts w:ascii="Calibri" w:hAnsi="Calibri"/>
          <w:color w:val="626A75"/>
          <w:sz w:val="20"/>
        </w:rPr>
        <w:t>________________________________________________________________________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Ciudad y país: </w:t>
      </w:r>
      <w:r>
        <w:rPr>
          <w:rFonts w:ascii="Calibri" w:hAnsi="Calibri"/>
          <w:color w:val="626A75"/>
          <w:sz w:val="20"/>
        </w:rPr>
        <w:t>________________________________________________________________________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Teléfono: </w:t>
      </w:r>
      <w:r>
        <w:rPr>
          <w:rFonts w:ascii="Calibri" w:hAnsi="Calibri"/>
          <w:color w:val="626A75"/>
          <w:sz w:val="20"/>
        </w:rPr>
        <w:t>________________________________________________________________________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Correo: </w:t>
      </w:r>
      <w:r>
        <w:rPr>
          <w:rFonts w:ascii="Calibri" w:hAnsi="Calibri"/>
          <w:color w:val="626A75"/>
          <w:sz w:val="20"/>
        </w:rPr>
        <w:t>________________________________________________________________________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Experiencia empresarial u operativa: </w:t>
      </w:r>
      <w:r>
        <w:rPr>
          <w:rFonts w:ascii="Calibri" w:hAnsi="Calibri"/>
          <w:color w:val="626A75"/>
          <w:sz w:val="20"/>
        </w:rPr>
        <w:t>________________________________________________________________________</w:t>
      </w:r>
    </w:p>
    <w:p>
      <w:pPr>
        <w:pStyle w:val="Heading2"/>
        <w:keepNext/>
      </w:pPr>
      <w:r>
        <w:t>C. Ubicación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Dirección o sector: </w:t>
      </w:r>
      <w:r>
        <w:rPr>
          <w:rFonts w:ascii="Calibri" w:hAnsi="Calibri"/>
          <w:color w:val="626A75"/>
          <w:sz w:val="20"/>
        </w:rPr>
        <w:t>________________________________________________________________________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¿Es propio o arrendado?: </w:t>
      </w:r>
      <w:r>
        <w:rPr>
          <w:rFonts w:ascii="Calibri" w:hAnsi="Calibri"/>
          <w:color w:val="626A75"/>
          <w:sz w:val="20"/>
        </w:rPr>
        <w:t>________________________________________________________________________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Área aproximada (m²): </w:t>
      </w:r>
      <w:r>
        <w:rPr>
          <w:rFonts w:ascii="Calibri" w:hAnsi="Calibri"/>
          <w:color w:val="626A75"/>
          <w:sz w:val="20"/>
        </w:rPr>
        <w:t>________________________________________________________________________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Frente y fondo: </w:t>
      </w:r>
      <w:r>
        <w:rPr>
          <w:rFonts w:ascii="Calibri" w:hAnsi="Calibri"/>
          <w:color w:val="626A75"/>
          <w:sz w:val="20"/>
        </w:rPr>
        <w:t>________________________________________________________________________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Uso actual: </w:t>
      </w:r>
      <w:r>
        <w:rPr>
          <w:rFonts w:ascii="Calibri" w:hAnsi="Calibri"/>
          <w:color w:val="626A75"/>
          <w:sz w:val="20"/>
        </w:rPr>
        <w:t>________________________________________________________________________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Enlace de ubicación: </w:t>
      </w:r>
      <w:r>
        <w:rPr>
          <w:rFonts w:ascii="Calibri" w:hAnsi="Calibri"/>
          <w:color w:val="626A75"/>
          <w:sz w:val="20"/>
        </w:rPr>
        <w:t>________________________________________________________________________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Permisos conocidos: </w:t>
      </w:r>
      <w:r>
        <w:rPr>
          <w:rFonts w:ascii="Calibri" w:hAnsi="Calibri"/>
          <w:color w:val="626A75"/>
          <w:sz w:val="20"/>
        </w:rPr>
        <w:t>________________________________________________________________________</w:t>
      </w:r>
    </w:p>
    <w:p>
      <w:pPr>
        <w:pStyle w:val="Heading2"/>
        <w:keepNext/>
      </w:pPr>
      <w:r>
        <w:t>D. Capital y plazo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3100"/>
        <w:gridCol w:w="800"/>
        <w:gridCol w:w="4660"/>
        <w:gridCol w:w="800"/>
      </w:tblGrid>
      <w:tr>
        <w:trPr>
          <w:tblHeader w:val="true"/>
        </w:trPr>
        <w:tc>
          <w:tcPr>
            <w:tcW w:type="dxa" w:w="31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Capital disponible</w:t>
            </w:r>
          </w:p>
        </w:tc>
        <w:tc>
          <w:tcPr>
            <w:tcW w:type="dxa" w:w="8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Marque</w:t>
            </w:r>
          </w:p>
        </w:tc>
        <w:tc>
          <w:tcPr>
            <w:tcW w:type="dxa" w:w="466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Horizonte para iniciar</w:t>
            </w:r>
          </w:p>
        </w:tc>
        <w:tc>
          <w:tcPr>
            <w:tcW w:type="dxa" w:w="8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Marque</w:t>
            </w:r>
          </w:p>
        </w:tc>
      </w:tr>
      <w:tr>
        <w:trPr>
          <w:cantSplit/>
        </w:trPr>
        <w:tc>
          <w:tcPr>
            <w:tcW w:type="dxa" w:w="3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Menos de $100 M</w:t>
            </w:r>
          </w:p>
        </w:tc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☐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0–3 meses</w:t>
            </w:r>
          </w:p>
        </w:tc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☐</w:t>
            </w:r>
          </w:p>
        </w:tc>
      </w:tr>
      <w:tr>
        <w:trPr>
          <w:cantSplit/>
        </w:trPr>
        <w:tc>
          <w:tcPr>
            <w:tcW w:type="dxa" w:w="31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$100–200 M</w:t>
            </w:r>
          </w:p>
        </w:tc>
        <w:tc>
          <w:tcPr>
            <w:tcW w:type="dxa" w:w="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☐</w:t>
            </w:r>
          </w:p>
        </w:tc>
        <w:tc>
          <w:tcPr>
            <w:tcW w:type="dxa" w:w="4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3–6 meses</w:t>
            </w:r>
          </w:p>
        </w:tc>
        <w:tc>
          <w:tcPr>
            <w:tcW w:type="dxa" w:w="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☐</w:t>
            </w:r>
          </w:p>
        </w:tc>
      </w:tr>
      <w:tr>
        <w:trPr>
          <w:cantSplit/>
        </w:trPr>
        <w:tc>
          <w:tcPr>
            <w:tcW w:type="dxa" w:w="3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$200–400 M</w:t>
            </w:r>
          </w:p>
        </w:tc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☐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6–12 meses</w:t>
            </w:r>
          </w:p>
        </w:tc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☐</w:t>
            </w:r>
          </w:p>
        </w:tc>
      </w:tr>
      <w:tr>
        <w:trPr>
          <w:cantSplit/>
        </w:trPr>
        <w:tc>
          <w:tcPr>
            <w:tcW w:type="dxa" w:w="31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Más de $400 M</w:t>
            </w:r>
          </w:p>
        </w:tc>
        <w:tc>
          <w:tcPr>
            <w:tcW w:type="dxa" w:w="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☐</w:t>
            </w:r>
          </w:p>
        </w:tc>
        <w:tc>
          <w:tcPr>
            <w:tcW w:type="dxa" w:w="4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Más de 12 meses</w:t>
            </w:r>
          </w:p>
        </w:tc>
        <w:tc>
          <w:tcPr>
            <w:tcW w:type="dxa" w:w="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☐</w:t>
            </w:r>
          </w:p>
        </w:tc>
      </w:tr>
      <w:tr>
        <w:trPr>
          <w:cantSplit/>
        </w:trPr>
        <w:tc>
          <w:tcPr>
            <w:tcW w:type="dxa" w:w="3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Por definir / financiación</w:t>
            </w:r>
          </w:p>
        </w:tc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☐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Estoy explorando</w:t>
            </w:r>
          </w:p>
        </w:tc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8"/>
              </w:rPr>
              <w:t>☐</w:t>
            </w:r>
          </w:p>
        </w:tc>
      </w:tr>
    </w:tbl>
    <w:p>
      <w:pPr>
        <w:spacing w:before="0" w:after="60" w:line="320" w:lineRule="auto"/>
      </w:pPr>
    </w:p>
    <w:p>
      <w:pPr>
        <w:keepNext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18</w:t>
      </w:r>
    </w:p>
    <w:p>
      <w:pPr>
        <w:pStyle w:val="Heading1"/>
        <w:keepNext/>
      </w:pPr>
      <w:r>
        <w:t>Formulario técnico y comercial</w:t>
      </w:r>
    </w:p>
    <w:p>
      <w:pPr>
        <w:pStyle w:val="Heading2"/>
        <w:keepNext/>
      </w:pPr>
      <w:r>
        <w:t>E. Si ya existe un lavadero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Años de operación: </w:t>
      </w:r>
      <w:r>
        <w:rPr>
          <w:rFonts w:ascii="Calibri" w:hAnsi="Calibri"/>
          <w:color w:val="626A75"/>
          <w:sz w:val="20"/>
        </w:rPr>
        <w:t>____________________________________________________________________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Vehículos promedio por día: </w:t>
      </w:r>
      <w:r>
        <w:rPr>
          <w:rFonts w:ascii="Calibri" w:hAnsi="Calibri"/>
          <w:color w:val="626A75"/>
          <w:sz w:val="20"/>
        </w:rPr>
        <w:t>____________________________________________________________________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Ticket promedio: </w:t>
      </w:r>
      <w:r>
        <w:rPr>
          <w:rFonts w:ascii="Calibri" w:hAnsi="Calibri"/>
          <w:color w:val="626A75"/>
          <w:sz w:val="20"/>
        </w:rPr>
        <w:t>____________________________________________________________________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Número de empleados: </w:t>
      </w:r>
      <w:r>
        <w:rPr>
          <w:rFonts w:ascii="Calibri" w:hAnsi="Calibri"/>
          <w:color w:val="626A75"/>
          <w:sz w:val="20"/>
        </w:rPr>
        <w:t>____________________________________________________________________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Equipos existentes y antigüedad: </w:t>
      </w:r>
      <w:r>
        <w:rPr>
          <w:rFonts w:ascii="Calibri" w:hAnsi="Calibri"/>
          <w:color w:val="626A75"/>
          <w:sz w:val="20"/>
        </w:rPr>
        <w:t>____________________________________________________________________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Consumo mensual de agua/energía: </w:t>
      </w:r>
      <w:r>
        <w:rPr>
          <w:rFonts w:ascii="Calibri" w:hAnsi="Calibri"/>
          <w:color w:val="626A75"/>
          <w:sz w:val="20"/>
        </w:rPr>
        <w:t>____________________________________________________________________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Ventas mensuales aproximadas: </w:t>
      </w:r>
      <w:r>
        <w:rPr>
          <w:rFonts w:ascii="Calibri" w:hAnsi="Calibri"/>
          <w:color w:val="626A75"/>
          <w:sz w:val="20"/>
        </w:rPr>
        <w:t>____________________________________________________________________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Principales problemas actuales: </w:t>
      </w:r>
      <w:r>
        <w:rPr>
          <w:rFonts w:ascii="Calibri" w:hAnsi="Calibri"/>
          <w:color w:val="626A75"/>
          <w:sz w:val="20"/>
        </w:rPr>
        <w:t>____________________________________________________________________</w:t>
      </w:r>
    </w:p>
    <w:p>
      <w:pPr>
        <w:pStyle w:val="Heading2"/>
        <w:keepNext/>
      </w:pPr>
      <w:r>
        <w:t>F. Servicios e infraestructura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3600"/>
        <w:gridCol w:w="800"/>
        <w:gridCol w:w="800"/>
        <w:gridCol w:w="4160"/>
      </w:tblGrid>
      <w:tr>
        <w:trPr>
          <w:tblHeader w:val="true"/>
        </w:trPr>
        <w:tc>
          <w:tcPr>
            <w:tcW w:type="dxa" w:w="36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8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Sí</w:t>
            </w:r>
          </w:p>
        </w:tc>
        <w:tc>
          <w:tcPr>
            <w:tcW w:type="dxa" w:w="8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No</w:t>
            </w:r>
          </w:p>
        </w:tc>
        <w:tc>
          <w:tcPr>
            <w:tcW w:type="dxa" w:w="416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Acueducto estable</w:t>
            </w:r>
          </w:p>
        </w:tc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☐</w:t>
            </w:r>
          </w:p>
        </w:tc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☐</w:t>
            </w:r>
          </w:p>
        </w:tc>
        <w:tc>
          <w:tcPr>
            <w:tcW w:type="dxa" w:w="4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</w:r>
          </w:p>
        </w:tc>
      </w:tr>
      <w:tr>
        <w:trPr>
          <w:cantSplit/>
        </w:trPr>
        <w:tc>
          <w:tcPr>
            <w:tcW w:type="dxa" w:w="3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Drenajes funcionales</w:t>
            </w:r>
          </w:p>
        </w:tc>
        <w:tc>
          <w:tcPr>
            <w:tcW w:type="dxa" w:w="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☐</w:t>
            </w:r>
          </w:p>
        </w:tc>
        <w:tc>
          <w:tcPr>
            <w:tcW w:type="dxa" w:w="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☐</w:t>
            </w:r>
          </w:p>
        </w:tc>
        <w:tc>
          <w:tcPr>
            <w:tcW w:type="dxa" w:w="41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Tratamiento/recirculación</w:t>
            </w:r>
          </w:p>
        </w:tc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☐</w:t>
            </w:r>
          </w:p>
        </w:tc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☐</w:t>
            </w:r>
          </w:p>
        </w:tc>
        <w:tc>
          <w:tcPr>
            <w:tcW w:type="dxa" w:w="4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</w:r>
          </w:p>
        </w:tc>
      </w:tr>
      <w:tr>
        <w:trPr>
          <w:cantSplit/>
        </w:trPr>
        <w:tc>
          <w:tcPr>
            <w:tcW w:type="dxa" w:w="3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Energía trifásica</w:t>
            </w:r>
          </w:p>
        </w:tc>
        <w:tc>
          <w:tcPr>
            <w:tcW w:type="dxa" w:w="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☐</w:t>
            </w:r>
          </w:p>
        </w:tc>
        <w:tc>
          <w:tcPr>
            <w:tcW w:type="dxa" w:w="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☐</w:t>
            </w:r>
          </w:p>
        </w:tc>
        <w:tc>
          <w:tcPr>
            <w:tcW w:type="dxa" w:w="41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Internet estable</w:t>
            </w:r>
          </w:p>
        </w:tc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☐</w:t>
            </w:r>
          </w:p>
        </w:tc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☐</w:t>
            </w:r>
          </w:p>
        </w:tc>
        <w:tc>
          <w:tcPr>
            <w:tcW w:type="dxa" w:w="4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</w:r>
          </w:p>
        </w:tc>
      </w:tr>
      <w:tr>
        <w:trPr>
          <w:cantSplit/>
        </w:trPr>
        <w:tc>
          <w:tcPr>
            <w:tcW w:type="dxa" w:w="3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Espacio de espera vehicular</w:t>
            </w:r>
          </w:p>
        </w:tc>
        <w:tc>
          <w:tcPr>
            <w:tcW w:type="dxa" w:w="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☐</w:t>
            </w:r>
          </w:p>
        </w:tc>
        <w:tc>
          <w:tcPr>
            <w:tcW w:type="dxa" w:w="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☐</w:t>
            </w:r>
          </w:p>
        </w:tc>
        <w:tc>
          <w:tcPr>
            <w:tcW w:type="dxa" w:w="41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Licencia/uso de suelo</w:t>
            </w:r>
          </w:p>
        </w:tc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☐</w:t>
            </w:r>
          </w:p>
        </w:tc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☐</w:t>
            </w:r>
          </w:p>
        </w:tc>
        <w:tc>
          <w:tcPr>
            <w:tcW w:type="dxa" w:w="4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</w:r>
          </w:p>
        </w:tc>
      </w:tr>
      <w:tr>
        <w:trPr>
          <w:cantSplit/>
        </w:trPr>
        <w:tc>
          <w:tcPr>
            <w:tcW w:type="dxa" w:w="3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Planos o medidas</w:t>
            </w:r>
          </w:p>
        </w:tc>
        <w:tc>
          <w:tcPr>
            <w:tcW w:type="dxa" w:w="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☐</w:t>
            </w:r>
          </w:p>
        </w:tc>
        <w:tc>
          <w:tcPr>
            <w:tcW w:type="dxa" w:w="8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  <w:t>☐</w:t>
            </w:r>
          </w:p>
        </w:tc>
        <w:tc>
          <w:tcPr>
            <w:tcW w:type="dxa" w:w="41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7"/>
              </w:rPr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G. Objetivos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¿Por qué le interesa Novawash?: </w:t>
      </w:r>
      <w:r>
        <w:rPr>
          <w:rFonts w:ascii="Calibri" w:hAnsi="Calibri"/>
          <w:color w:val="626A75"/>
          <w:sz w:val="20"/>
        </w:rPr>
        <w:t>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¿Qué espera que entregue Novawash?: </w:t>
      </w:r>
      <w:r>
        <w:rPr>
          <w:rFonts w:ascii="Calibri" w:hAnsi="Calibri"/>
          <w:color w:val="626A75"/>
          <w:sz w:val="20"/>
        </w:rPr>
        <w:t>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¿Qué aportaría usted además del capital?: </w:t>
      </w:r>
      <w:r>
        <w:rPr>
          <w:rFonts w:ascii="Calibri" w:hAnsi="Calibri"/>
          <w:color w:val="626A75"/>
          <w:sz w:val="20"/>
        </w:rPr>
        <w:t>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¿Desea exclusividad? ¿Para qué zona?: </w:t>
      </w:r>
      <w:r>
        <w:rPr>
          <w:rFonts w:ascii="Calibri" w:hAnsi="Calibri"/>
          <w:color w:val="626A75"/>
          <w:sz w:val="20"/>
        </w:rPr>
        <w:t>__________________________________________________________________</w:t>
      </w:r>
    </w:p>
    <w:p>
      <w:pPr>
        <w:spacing w:after="140"/>
        <w:jc w:val="left"/>
      </w:pPr>
      <w:r>
        <w:rPr>
          <w:rFonts w:ascii="Calibri" w:hAnsi="Calibri"/>
          <w:b/>
          <w:color w:val="20242C"/>
          <w:sz w:val="20"/>
        </w:rPr>
        <w:t xml:space="preserve">Comentarios y preguntas: </w:t>
      </w:r>
      <w:r>
        <w:rPr>
          <w:rFonts w:ascii="Calibri" w:hAnsi="Calibri"/>
          <w:color w:val="626A75"/>
          <w:sz w:val="20"/>
        </w:rPr>
        <w:t>__________________________________________________________________</w:t>
      </w:r>
    </w:p>
    <w:p>
      <w:pPr>
        <w:spacing w:before="0" w:after="280" w:line="32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37A3B"/>
          <w:left w:val="single" w:sz="8" w:space="0" w:color="237A3B"/>
          <w:bottom w:val="single" w:sz="8" w:space="0" w:color="237A3B"/>
          <w:right w:val="single" w:sz="8" w:space="0" w:color="237A3B"/>
          <w:insideH w:val="single" w:sz="8" w:space="0" w:color="237A3B"/>
          <w:insideV w:val="single" w:sz="8" w:space="0" w:color="237A3B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6EE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237A3B"/>
                <w:sz w:val="22"/>
              </w:rPr>
              <w:t>Siguiente paso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7191D"/>
                <w:sz w:val="21"/>
              </w:rPr>
              <w:t>Enviar este formulario con fotos, video, medidas y ubicación. Novawash confirmará si procede una llamada de calificación, una prefactibilidad documental o una visita técnica cotizada.</w:t>
            </w:r>
          </w:p>
        </w:tc>
      </w:tr>
    </w:tbl>
    <w:p>
      <w:pPr>
        <w:spacing w:before="0" w:after="60" w:line="320" w:lineRule="auto"/>
      </w:pP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ANEXO A</w:t>
      </w:r>
    </w:p>
    <w:p>
      <w:pPr>
        <w:pStyle w:val="Heading1"/>
        <w:keepNext/>
      </w:pPr>
      <w:r>
        <w:t>Ficha de cotización por sede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500"/>
        <w:gridCol w:w="900"/>
        <w:gridCol w:w="900"/>
        <w:gridCol w:w="2700"/>
        <w:gridCol w:w="900"/>
        <w:gridCol w:w="1460"/>
      </w:tblGrid>
      <w:tr>
        <w:trPr>
          <w:tblHeader w:val="true"/>
        </w:trPr>
        <w:tc>
          <w:tcPr>
            <w:tcW w:type="dxa" w:w="25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Ítem</w:t>
            </w:r>
          </w:p>
        </w:tc>
        <w:tc>
          <w:tcPr>
            <w:tcW w:type="dxa" w:w="9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Cantidad</w:t>
            </w:r>
          </w:p>
        </w:tc>
        <w:tc>
          <w:tcPr>
            <w:tcW w:type="dxa" w:w="9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Unidad</w:t>
            </w:r>
          </w:p>
        </w:tc>
        <w:tc>
          <w:tcPr>
            <w:tcW w:type="dxa" w:w="27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Especificación</w:t>
            </w:r>
          </w:p>
        </w:tc>
        <w:tc>
          <w:tcPr>
            <w:tcW w:type="dxa" w:w="9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Incluido</w:t>
            </w:r>
          </w:p>
        </w:tc>
        <w:tc>
          <w:tcPr>
            <w:tcW w:type="dxa" w:w="146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5"/>
              </w:rPr>
              <w:t>Valor COP</w:t>
            </w:r>
          </w:p>
        </w:tc>
      </w:tr>
      <w:tr>
        <w:trPr>
          <w:cantSplit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Estudio e ingeniería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☐</w:t>
            </w:r>
          </w:p>
        </w:tc>
        <w:tc>
          <w:tcPr>
            <w:tcW w:type="dxa" w:w="1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Licencia inicial</w:t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2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☐</w:t>
            </w:r>
          </w:p>
        </w:tc>
        <w:tc>
          <w:tcPr>
            <w:tcW w:type="dxa" w:w="14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Maquinaria principal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☐</w:t>
            </w:r>
          </w:p>
        </w:tc>
        <w:tc>
          <w:tcPr>
            <w:tcW w:type="dxa" w:w="1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Bombas/hidrolavado</w:t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2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☐</w:t>
            </w:r>
          </w:p>
        </w:tc>
        <w:tc>
          <w:tcPr>
            <w:tcW w:type="dxa" w:w="14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Talanquera y control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☐</w:t>
            </w:r>
          </w:p>
        </w:tc>
        <w:tc>
          <w:tcPr>
            <w:tcW w:type="dxa" w:w="1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Lector QR / hardware</w:t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2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☐</w:t>
            </w:r>
          </w:p>
        </w:tc>
        <w:tc>
          <w:tcPr>
            <w:tcW w:type="dxa" w:w="14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Obra civil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☐</w:t>
            </w:r>
          </w:p>
        </w:tc>
        <w:tc>
          <w:tcPr>
            <w:tcW w:type="dxa" w:w="1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Hidráulica</w:t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2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☐</w:t>
            </w:r>
          </w:p>
        </w:tc>
        <w:tc>
          <w:tcPr>
            <w:tcW w:type="dxa" w:w="14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Electricidad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☐</w:t>
            </w:r>
          </w:p>
        </w:tc>
        <w:tc>
          <w:tcPr>
            <w:tcW w:type="dxa" w:w="1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Tratamiento/reciclaje</w:t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2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☐</w:t>
            </w:r>
          </w:p>
        </w:tc>
        <w:tc>
          <w:tcPr>
            <w:tcW w:type="dxa" w:w="14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Software / activación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☐</w:t>
            </w:r>
          </w:p>
        </w:tc>
        <w:tc>
          <w:tcPr>
            <w:tcW w:type="dxa" w:w="1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Capacitación</w:t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2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☐</w:t>
            </w:r>
          </w:p>
        </w:tc>
        <w:tc>
          <w:tcPr>
            <w:tcW w:type="dxa" w:w="14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Imagen y señalización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☐</w:t>
            </w:r>
          </w:p>
        </w:tc>
        <w:tc>
          <w:tcPr>
            <w:tcW w:type="dxa" w:w="1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Químicos iniciales</w:t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2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☐</w:t>
            </w:r>
          </w:p>
        </w:tc>
        <w:tc>
          <w:tcPr>
            <w:tcW w:type="dxa" w:w="14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Repuestos iniciales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☐</w:t>
            </w:r>
          </w:p>
        </w:tc>
        <w:tc>
          <w:tcPr>
            <w:tcW w:type="dxa" w:w="1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Transporte/viáticos</w:t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27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☐</w:t>
            </w:r>
          </w:p>
        </w:tc>
        <w:tc>
          <w:tcPr>
            <w:tcW w:type="dxa" w:w="14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</w:tr>
      <w:tr>
        <w:trPr>
          <w:cantSplit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5"/>
              </w:rPr>
              <w:t>Contingencia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  <w:t>☐</w:t>
            </w:r>
          </w:p>
        </w:tc>
        <w:tc>
          <w:tcPr>
            <w:tcW w:type="dxa" w:w="1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5"/>
              </w:rPr>
            </w:r>
          </w:p>
        </w:tc>
      </w:tr>
    </w:tbl>
    <w:p>
      <w:pPr>
        <w:spacing w:before="0" w:after="60" w:line="320" w:lineRule="auto"/>
      </w:pPr>
    </w:p>
    <w:p>
      <w:pPr>
        <w:spacing w:before="0" w:after="240" w:line="320" w:lineRule="auto"/>
      </w:pPr>
      <w:r>
        <w:rPr>
          <w:rFonts w:ascii="Calibri" w:hAnsi="Calibri"/>
          <w:b/>
          <w:i w:val="0"/>
          <w:color w:val="20242C"/>
          <w:sz w:val="20"/>
        </w:rPr>
        <w:t>Subtotal: __________________  |  Impuestos: __________________  |  Total inversión: __________________</w:t>
      </w:r>
    </w:p>
    <w:p>
      <w:pPr>
        <w:spacing w:before="0" w:after="160" w:line="320" w:lineRule="auto"/>
      </w:pPr>
      <w:r>
        <w:rPr>
          <w:rFonts w:ascii="Calibri" w:hAnsi="Calibri"/>
          <w:b w:val="0"/>
          <w:i w:val="0"/>
          <w:color w:val="17191D"/>
          <w:sz w:val="20"/>
        </w:rPr>
        <w:t>Forma de pago: ______________________________________________________________________________</w:t>
      </w:r>
    </w:p>
    <w:p>
      <w:pPr>
        <w:spacing w:before="0" w:after="160" w:line="320" w:lineRule="auto"/>
      </w:pPr>
      <w:r>
        <w:rPr>
          <w:rFonts w:ascii="Calibri" w:hAnsi="Calibri"/>
          <w:b w:val="0"/>
          <w:i w:val="0"/>
          <w:color w:val="17191D"/>
          <w:sz w:val="20"/>
        </w:rPr>
        <w:t>Vigencia: __________________  |  Plazo estimado: __________________  |  Garantía: __________________</w:t>
      </w:r>
    </w:p>
    <w:p>
      <w:pPr>
        <w:spacing w:before="0" w:after="160" w:line="320" w:lineRule="auto"/>
      </w:pPr>
      <w:r>
        <w:rPr>
          <w:rFonts w:ascii="Calibri" w:hAnsi="Calibri"/>
          <w:b w:val="0"/>
          <w:i w:val="0"/>
          <w:color w:val="17191D"/>
          <w:sz w:val="20"/>
        </w:rPr>
        <w:t>Exclusiones: __________________________________________________________________________________</w:t>
      </w:r>
    </w:p>
    <w:p>
      <w:pPr>
        <w:keepNext/>
        <w:pageBreakBefore/>
        <w:spacing w:before="0" w:after="40" w:line="320" w:lineRule="auto"/>
      </w:pPr>
      <w:r>
        <w:rPr>
          <w:rFonts w:ascii="Calibri" w:hAnsi="Calibri"/>
          <w:b/>
          <w:i w:val="0"/>
          <w:color w:val="FF6A1A"/>
          <w:sz w:val="18"/>
        </w:rPr>
        <w:t>ANEXO B</w:t>
      </w:r>
    </w:p>
    <w:p>
      <w:pPr>
        <w:pStyle w:val="Heading1"/>
        <w:keepNext/>
      </w:pPr>
      <w:r>
        <w:t>Ficha de cargos recurrentes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1900"/>
        <w:gridCol w:w="1550"/>
        <w:gridCol w:w="1600"/>
        <w:gridCol w:w="1350"/>
        <w:gridCol w:w="1300"/>
        <w:gridCol w:w="1660"/>
      </w:tblGrid>
      <w:tr>
        <w:trPr>
          <w:tblHeader w:val="true"/>
        </w:trPr>
        <w:tc>
          <w:tcPr>
            <w:tcW w:type="dxa" w:w="19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Concepto</w:t>
            </w:r>
          </w:p>
        </w:tc>
        <w:tc>
          <w:tcPr>
            <w:tcW w:type="dxa" w:w="155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Base</w:t>
            </w:r>
          </w:p>
        </w:tc>
        <w:tc>
          <w:tcPr>
            <w:tcW w:type="dxa" w:w="16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Periodicidad</w:t>
            </w:r>
          </w:p>
        </w:tc>
        <w:tc>
          <w:tcPr>
            <w:tcW w:type="dxa" w:w="135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Tarifa</w:t>
            </w:r>
          </w:p>
        </w:tc>
        <w:tc>
          <w:tcPr>
            <w:tcW w:type="dxa" w:w="130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Indexación</w:t>
            </w:r>
          </w:p>
        </w:tc>
        <w:tc>
          <w:tcPr>
            <w:tcW w:type="dxa" w:w="1660"/>
            <w:shd w:fill="20242C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Observaciones</w:t>
            </w:r>
          </w:p>
        </w:tc>
      </w:tr>
      <w:tr>
        <w:trPr>
          <w:cantSplit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Software</w:t>
            </w:r>
          </w:p>
        </w:tc>
        <w:tc>
          <w:tcPr>
            <w:tcW w:type="dxa" w:w="1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Por sede/módulo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Mensual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  <w:tc>
          <w:tcPr>
            <w:tcW w:type="dxa" w:w="1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</w:tr>
      <w:tr>
        <w:trPr>
          <w:cantSplit/>
        </w:trPr>
        <w:tc>
          <w:tcPr>
            <w:tcW w:type="dxa" w:w="1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Soporte</w:t>
            </w:r>
          </w:p>
        </w:tc>
        <w:tc>
          <w:tcPr>
            <w:tcW w:type="dxa" w:w="15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Por plan</w:t>
            </w:r>
          </w:p>
        </w:tc>
        <w:tc>
          <w:tcPr>
            <w:tcW w:type="dxa" w:w="1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Mensual/anual</w:t>
            </w:r>
          </w:p>
        </w:tc>
        <w:tc>
          <w:tcPr>
            <w:tcW w:type="dxa" w:w="13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  <w:tc>
          <w:tcPr>
            <w:tcW w:type="dxa" w:w="13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  <w:tc>
          <w:tcPr>
            <w:tcW w:type="dxa" w:w="1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</w:tr>
      <w:tr>
        <w:trPr>
          <w:cantSplit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Licencia de marca</w:t>
            </w:r>
          </w:p>
        </w:tc>
        <w:tc>
          <w:tcPr>
            <w:tcW w:type="dxa" w:w="1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Fija o %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Mensual/anual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  <w:tc>
          <w:tcPr>
            <w:tcW w:type="dxa" w:w="1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</w:tr>
      <w:tr>
        <w:trPr>
          <w:cantSplit/>
        </w:trPr>
        <w:tc>
          <w:tcPr>
            <w:tcW w:type="dxa" w:w="1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Mantenimiento</w:t>
            </w:r>
          </w:p>
        </w:tc>
        <w:tc>
          <w:tcPr>
            <w:tcW w:type="dxa" w:w="15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Por equipos</w:t>
            </w:r>
          </w:p>
        </w:tc>
        <w:tc>
          <w:tcPr>
            <w:tcW w:type="dxa" w:w="1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Mensual/trimestral</w:t>
            </w:r>
          </w:p>
        </w:tc>
        <w:tc>
          <w:tcPr>
            <w:tcW w:type="dxa" w:w="13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  <w:tc>
          <w:tcPr>
            <w:tcW w:type="dxa" w:w="13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  <w:tc>
          <w:tcPr>
            <w:tcW w:type="dxa" w:w="1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</w:tr>
      <w:tr>
        <w:trPr>
          <w:cantSplit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Químicos</w:t>
            </w:r>
          </w:p>
        </w:tc>
        <w:tc>
          <w:tcPr>
            <w:tcW w:type="dxa" w:w="1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Por consumo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Pedido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  <w:tc>
          <w:tcPr>
            <w:tcW w:type="dxa" w:w="1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</w:tr>
      <w:tr>
        <w:trPr>
          <w:cantSplit/>
        </w:trPr>
        <w:tc>
          <w:tcPr>
            <w:tcW w:type="dxa" w:w="1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Repuestos</w:t>
            </w:r>
          </w:p>
        </w:tc>
        <w:tc>
          <w:tcPr>
            <w:tcW w:type="dxa" w:w="15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Por evento/stock</w:t>
            </w:r>
          </w:p>
        </w:tc>
        <w:tc>
          <w:tcPr>
            <w:tcW w:type="dxa" w:w="1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Pedido</w:t>
            </w:r>
          </w:p>
        </w:tc>
        <w:tc>
          <w:tcPr>
            <w:tcW w:type="dxa" w:w="13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  <w:tc>
          <w:tcPr>
            <w:tcW w:type="dxa" w:w="13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  <w:tc>
          <w:tcPr>
            <w:tcW w:type="dxa" w:w="1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</w:tr>
      <w:tr>
        <w:trPr>
          <w:cantSplit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Marketing de red</w:t>
            </w:r>
          </w:p>
        </w:tc>
        <w:tc>
          <w:tcPr>
            <w:tcW w:type="dxa" w:w="1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Fijo o %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Mensual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  <w:tc>
          <w:tcPr>
            <w:tcW w:type="dxa" w:w="1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</w:tr>
      <w:tr>
        <w:trPr>
          <w:cantSplit/>
        </w:trPr>
        <w:tc>
          <w:tcPr>
            <w:tcW w:type="dxa" w:w="19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/>
                <w:color w:val="17191D"/>
                <w:sz w:val="16"/>
              </w:rPr>
              <w:t>Pasarela de pago</w:t>
            </w:r>
          </w:p>
        </w:tc>
        <w:tc>
          <w:tcPr>
            <w:tcW w:type="dxa" w:w="15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% + fijo</w:t>
            </w:r>
          </w:p>
        </w:tc>
        <w:tc>
          <w:tcPr>
            <w:tcW w:type="dxa" w:w="16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  <w:t>Transacción</w:t>
            </w:r>
          </w:p>
        </w:tc>
        <w:tc>
          <w:tcPr>
            <w:tcW w:type="dxa" w:w="135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  <w:tc>
          <w:tcPr>
            <w:tcW w:type="dxa" w:w="130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  <w:tc>
          <w:tcPr>
            <w:tcW w:type="dxa" w:w="1660"/>
            <w:shd w:fill="F7F8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/>
                <w:b w:val="0"/>
                <w:color w:val="17191D"/>
                <w:sz w:val="16"/>
              </w:rPr>
            </w:r>
          </w:p>
        </w:tc>
      </w:tr>
    </w:tbl>
    <w:p>
      <w:pPr>
        <w:spacing w:before="0" w:after="60" w:line="320" w:lineRule="auto"/>
      </w:pPr>
    </w:p>
    <w:p>
      <w:pPr>
        <w:pStyle w:val="Heading2"/>
        <w:keepNext/>
      </w:pPr>
      <w:r>
        <w:t>Datos de contacto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700"/>
        <w:gridCol w:w="6660"/>
      </w:tblGrid>
      <w:t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7F8FA"/>
          </w:tcPr>
          <w:p>
            <w:pPr>
              <w:jc w:val="left"/>
            </w:pPr>
            <w:r>
              <w:rPr>
                <w:rFonts w:ascii="Calibri" w:hAnsi="Calibri"/>
                <w:b/>
                <w:color w:val="20242C"/>
                <w:sz w:val="19"/>
              </w:rPr>
              <w:t>Web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color w:val="17191D"/>
                <w:sz w:val="19"/>
              </w:rPr>
              <w:t>novawash.com.co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700"/>
        <w:gridCol w:w="6660"/>
      </w:tblGrid>
      <w:t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7F8FA"/>
          </w:tcPr>
          <w:p>
            <w:pPr>
              <w:jc w:val="left"/>
            </w:pPr>
            <w:r>
              <w:rPr>
                <w:rFonts w:ascii="Calibri" w:hAnsi="Calibri"/>
                <w:b/>
                <w:color w:val="20242C"/>
                <w:sz w:val="19"/>
              </w:rPr>
              <w:t>Correo publicado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color w:val="17191D"/>
                <w:sz w:val="19"/>
              </w:rPr>
              <w:t>info@novawash.com.co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700"/>
        <w:gridCol w:w="6660"/>
      </w:tblGrid>
      <w:t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7F8FA"/>
          </w:tcPr>
          <w:p>
            <w:pPr>
              <w:jc w:val="left"/>
            </w:pPr>
            <w:r>
              <w:rPr>
                <w:rFonts w:ascii="Calibri" w:hAnsi="Calibri"/>
                <w:b/>
                <w:color w:val="20242C"/>
                <w:sz w:val="19"/>
              </w:rPr>
              <w:t>Teléfono publicado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color w:val="17191D"/>
                <w:sz w:val="19"/>
              </w:rPr>
              <w:t>304 604 0723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E6"/>
          <w:left w:val="single" w:sz="6" w:space="0" w:color="D7DDE6"/>
          <w:bottom w:val="single" w:sz="6" w:space="0" w:color="D7DDE6"/>
          <w:right w:val="single" w:sz="6" w:space="0" w:color="D7DDE6"/>
          <w:insideH w:val="single" w:sz="6" w:space="0" w:color="D7DDE6"/>
          <w:insideV w:val="single" w:sz="6" w:space="0" w:color="D7DDE6"/>
        </w:tblBorders>
      </w:tblPr>
      <w:tblGrid>
        <w:gridCol w:w="2700"/>
        <w:gridCol w:w="6660"/>
      </w:tblGrid>
      <w:t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7F8FA"/>
          </w:tcPr>
          <w:p>
            <w:pPr>
              <w:jc w:val="left"/>
            </w:pPr>
            <w:r>
              <w:rPr>
                <w:rFonts w:ascii="Calibri" w:hAnsi="Calibri"/>
                <w:b/>
                <w:color w:val="20242C"/>
                <w:sz w:val="19"/>
              </w:rPr>
              <w:t>Ubicación publicada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color w:val="17191D"/>
                <w:sz w:val="19"/>
              </w:rPr>
              <w:t>Cra. 7D #145-51, Cedritos, Bogotá — confirmar disponibilidad antes de presentar.</w:t>
            </w:r>
          </w:p>
        </w:tc>
      </w:tr>
    </w:tbl>
    <w:p>
      <w:pPr>
        <w:spacing w:before="0" w:after="200" w:line="32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FF6A1A"/>
          <w:left w:val="single" w:sz="8" w:space="0" w:color="FF6A1A"/>
          <w:bottom w:val="single" w:sz="8" w:space="0" w:color="FF6A1A"/>
          <w:right w:val="single" w:sz="8" w:space="0" w:color="FF6A1A"/>
          <w:insideH w:val="single" w:sz="8" w:space="0" w:color="FF6A1A"/>
          <w:insideV w:val="single" w:sz="8" w:space="0" w:color="FF6A1A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0E7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FF6A1A"/>
                <w:sz w:val="22"/>
              </w:rPr>
              <w:t>Aviso final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7191D"/>
                <w:sz w:val="21"/>
              </w:rPr>
              <w:t>Los precios al consumidor incluidos en este documento provienen del proyecto actual. Los valores de inversión y contratos deben completarse mediante cotización e ingeniería. No se ofrecen garantías de ventas, utilidad, EBITDA, retorno ni recuperación de inversión.</w:t>
            </w:r>
          </w:p>
        </w:tc>
      </w:tr>
    </w:tbl>
    <w:p>
      <w:pPr>
        <w:spacing w:before="0" w:after="60" w:line="320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24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26A75"/>
        <w:sz w:val="16"/>
      </w:rPr>
      <w:t xml:space="preserve">Documento de estructuración — no constituye oferta vinculante | Página </w:t>
    </w:r>
    <w:r>
      <w:rPr>
        <w:rFonts w:ascii="Calibri" w:hAnsi="Calibri"/>
        <w:color w:val="626A75"/>
        <w:sz w:val="17"/>
      </w:rPr>
      <w:fldChar w:fldCharType="begin"/>
      <w:instrText xml:space="preserve">PAGE</w:instrText>
      <w:fldChar w:fldCharType="end"/>
    </w:r>
    <w:r>
      <w:rPr>
        <w:rFonts w:ascii="Calibri" w:hAnsi="Calibri"/>
        <w:color w:val="626A75"/>
        <w:sz w:val="16"/>
      </w:rPr>
      <w:t xml:space="preserve"> de </w:t>
    </w:r>
    <w:r>
      <w:rPr>
        <w:rFonts w:ascii="Calibri" w:hAnsi="Calibri"/>
        <w:color w:val="626A75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4752"/>
      <w:gridCol w:w="4608"/>
    </w:tblGrid>
    <w:tr>
      <w:tc>
        <w:tcPr>
          <w:tcW w:type="dxa" w:w="4680"/>
          <w:tcMar>
            <w:top w:w="0" w:type="dxa"/>
            <w:start w:w="0" w:type="dxa"/>
            <w:bottom w:w="0" w:type="dxa"/>
            <w:end w:w="0" w:type="dxa"/>
          </w:tcMar>
        </w:tcPr>
        <w:p>
          <w:r/>
          <w:r>
            <w:rPr>
              <w:rFonts w:ascii="Calibri" w:hAnsi="Calibri"/>
              <w:b/>
              <w:color w:val="FF6A1A"/>
              <w:sz w:val="17"/>
            </w:rPr>
            <w:t>NOVAWASH</w:t>
          </w:r>
        </w:p>
      </w:tc>
      <w:tc>
        <w:tcPr>
          <w:tcW w:type="dxa" w:w="468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/>
          <w:r>
            <w:rPr>
              <w:rFonts w:ascii="Calibri" w:hAnsi="Calibri"/>
              <w:color w:val="626A75"/>
              <w:sz w:val="16"/>
            </w:rPr>
            <w:t>Dossier comercial editable | Estructuración</w:t>
          </w:r>
        </w:p>
      </w:tc>
    </w:tr>
  </w:tbl>
  <w:p>
    <w:pPr>
      <w:spacing w:after="0"/>
      <w:pBdr>
        <w:bottom w:val="single" w:sz="6" w:space="1" w:color="D7DDE6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  <w:jc w:val="both"/>
    </w:pPr>
    <w:rPr>
      <w:rFonts w:ascii="Calibri" w:hAnsi="Calibri"/>
      <w:color w:val="1719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FF6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FF6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0242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8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90" w:lineRule="auto"/>
      <w:ind w:left="900" w:hanging="280"/>
      <w:contextualSpacing/>
    </w:pPr>
    <w:rPr>
      <w:rFonts w:ascii="Calibri" w:hAnsi="Calibri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8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Novawash — Modelos de inversión y operación</dc:title>
  <dc:subject>Dossier comercial editable para potenciales inversionistas y operadores</dc:subject>
  <dc:creator>Novawash</dc:creator>
  <cp:keywords>Novawash, lavadero automatizado, licencia, tecnología, inversión, software</cp:keywords>
  <dc:description>Documento de estructuración; cifras por validar.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