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2760B9" w14:textId="10B692AC" w:rsidR="00675571" w:rsidRPr="00675571" w:rsidRDefault="00675571" w:rsidP="00675571">
      <w:pPr>
        <w:pStyle w:val="Heading1"/>
        <w:spacing w:after="240"/>
      </w:pPr>
      <w:r w:rsidRPr="00675571">
        <w:t>Statistics of estimating relative fitness from competition assays based on viable count data</w:t>
      </w:r>
      <w:bookmarkStart w:id="0" w:name="_GoBack"/>
      <w:bookmarkEnd w:id="0"/>
    </w:p>
    <w:p w14:paraId="523E6EB8" w14:textId="03C7F01A" w:rsidR="00675571" w:rsidRDefault="00675571" w:rsidP="00675571">
      <w:pPr>
        <w:pStyle w:val="Heading2"/>
        <w:spacing w:before="240" w:after="240"/>
      </w:pPr>
      <w:r>
        <w:t>Robert J Clegg and Jan-Ulrich Kreft</w:t>
      </w:r>
    </w:p>
    <w:p w14:paraId="484AE72E" w14:textId="2A5E0853" w:rsidR="001A6407" w:rsidRDefault="00675571" w:rsidP="00675571">
      <w:pPr>
        <w:spacing w:after="240" w:line="288" w:lineRule="auto"/>
      </w:pPr>
      <w:r>
        <w:t xml:space="preserve">The development of this statistical method was prompted by the evolution experiment and competition assays to measure fitness carried out by Feng Dong </w:t>
      </w:r>
      <w:r w:rsidR="001A6407">
        <w:t>et al</w:t>
      </w:r>
      <w:r>
        <w:t xml:space="preserve">. </w:t>
      </w:r>
      <w:r w:rsidR="001A6407">
        <w:t>in our lab:</w:t>
      </w:r>
    </w:p>
    <w:p w14:paraId="7E05F3CF" w14:textId="1EA8B7DA" w:rsidR="001A6407" w:rsidRDefault="001A6407" w:rsidP="001A6407">
      <w:pPr>
        <w:spacing w:after="240" w:line="288" w:lineRule="auto"/>
      </w:pPr>
      <w:r>
        <w:t>Feng Dong, Ana C. Quevedo, Xiang Wang, Eugenia Valsami-Jones, Jan-Ulrich Kreft</w:t>
      </w:r>
      <w:r w:rsidR="00434727">
        <w:t xml:space="preserve"> (2020)</w:t>
      </w:r>
      <w:r>
        <w:t xml:space="preserve">. </w:t>
      </w:r>
      <w:r>
        <w:t xml:space="preserve">Experimental Evolution of </w:t>
      </w:r>
      <w:r w:rsidRPr="001A6407">
        <w:rPr>
          <w:i/>
        </w:rPr>
        <w:t>Pseudomonas putida</w:t>
      </w:r>
      <w:r>
        <w:t xml:space="preserve"> under Silver Ion versus Nanoparticle Stress</w:t>
      </w:r>
      <w:r>
        <w:t xml:space="preserve">. </w:t>
      </w:r>
      <w:hyperlink r:id="rId4" w:history="1">
        <w:r w:rsidRPr="0084583F">
          <w:rPr>
            <w:rStyle w:val="Hyperlink"/>
          </w:rPr>
          <w:t>https://doi.org/10.1101/2020.09.17.302794</w:t>
        </w:r>
      </w:hyperlink>
    </w:p>
    <w:p w14:paraId="6DE1B5CE" w14:textId="7C93B9F5" w:rsidR="001A6407" w:rsidRDefault="001A6407" w:rsidP="00675571">
      <w:pPr>
        <w:spacing w:after="240" w:line="288" w:lineRule="auto"/>
      </w:pPr>
      <w:r>
        <w:t>See the preprint for further information on the study.</w:t>
      </w:r>
    </w:p>
    <w:p w14:paraId="07193F17" w14:textId="5D90BC85" w:rsidR="001A6407" w:rsidRDefault="001A6407" w:rsidP="00675571">
      <w:pPr>
        <w:spacing w:after="240" w:line="288" w:lineRule="auto"/>
      </w:pPr>
      <w:hyperlink r:id="rId5" w:history="1">
        <w:r w:rsidRPr="0084583F">
          <w:rPr>
            <w:rStyle w:val="Hyperlink"/>
          </w:rPr>
          <w:t>https://www.biorxiv.org/content/10.1101/2020.09.17.302794v2</w:t>
        </w:r>
      </w:hyperlink>
    </w:p>
    <w:p w14:paraId="44C00CD6" w14:textId="70259C15" w:rsidR="00675571" w:rsidRDefault="00675571" w:rsidP="00675571">
      <w:pPr>
        <w:spacing w:after="240" w:line="288" w:lineRule="auto"/>
      </w:pPr>
      <w:r>
        <w:t>The idea of the method is to simulate the experimental procedure to derive estimates of fitness.</w:t>
      </w:r>
    </w:p>
    <w:p w14:paraId="772F51A8" w14:textId="6EFF3869" w:rsidR="00A25FE1" w:rsidRDefault="00DA07F7" w:rsidP="00675571">
      <w:pPr>
        <w:spacing w:after="240" w:line="288" w:lineRule="auto"/>
      </w:pPr>
      <w:r>
        <w:t>For each population</w:t>
      </w:r>
      <w:r w:rsidR="001E11F3">
        <w:t xml:space="preserve"> i</w:t>
      </w:r>
      <w:r>
        <w:t>, we start with a</w:t>
      </w:r>
      <w:r w:rsidR="0006340F">
        <w:t xml:space="preserve"> test tube of volume </w:t>
      </w:r>
      <w:proofErr w:type="spellStart"/>
      <w:r w:rsidR="0006340F">
        <w:t>V</w:t>
      </w:r>
      <w:r w:rsidR="0006340F" w:rsidRPr="0006340F">
        <w:rPr>
          <w:vertAlign w:val="subscript"/>
        </w:rPr>
        <w:t>t</w:t>
      </w:r>
      <w:proofErr w:type="spellEnd"/>
      <w:r w:rsidR="0006340F">
        <w:t xml:space="preserve"> (known) containing </w:t>
      </w:r>
      <w:proofErr w:type="spellStart"/>
      <w:r w:rsidR="0006340F">
        <w:t>N</w:t>
      </w:r>
      <w:r w:rsidR="0006340F" w:rsidRPr="0006340F">
        <w:rPr>
          <w:vertAlign w:val="subscript"/>
        </w:rPr>
        <w:t>t</w:t>
      </w:r>
      <w:proofErr w:type="gramStart"/>
      <w:r w:rsidR="001E11F3">
        <w:rPr>
          <w:vertAlign w:val="subscript"/>
        </w:rPr>
        <w:t>,i</w:t>
      </w:r>
      <w:proofErr w:type="spellEnd"/>
      <w:proofErr w:type="gramEnd"/>
      <w:r w:rsidR="0006340F" w:rsidRPr="0006340F">
        <w:t xml:space="preserve"> </w:t>
      </w:r>
      <w:r>
        <w:t xml:space="preserve">(unknown) cells. From this, a sample </w:t>
      </w:r>
      <w:r w:rsidR="00DD7427">
        <w:t xml:space="preserve">of volume </w:t>
      </w:r>
      <w:proofErr w:type="spellStart"/>
      <w:r w:rsidR="00DD7427">
        <w:t>V</w:t>
      </w:r>
      <w:r w:rsidR="00DD7427" w:rsidRPr="00DD7427">
        <w:rPr>
          <w:vertAlign w:val="subscript"/>
        </w:rPr>
        <w:t>st</w:t>
      </w:r>
      <w:proofErr w:type="spellEnd"/>
      <w:r w:rsidR="00DD7427">
        <w:t xml:space="preserve"> (known) is taken and diluted D</w:t>
      </w:r>
      <w:r w:rsidR="00DD7427" w:rsidRPr="00DD7427">
        <w:rPr>
          <w:vertAlign w:val="subscript"/>
        </w:rPr>
        <w:t>t</w:t>
      </w:r>
      <w:r w:rsidR="00DD7427">
        <w:t xml:space="preserve">-fold (known): this is then plated and the colonies counted to give </w:t>
      </w:r>
      <w:proofErr w:type="spellStart"/>
      <w:r w:rsidR="00DD7427">
        <w:t>x</w:t>
      </w:r>
      <w:r w:rsidR="00DD7427" w:rsidRPr="00DD7427">
        <w:rPr>
          <w:vertAlign w:val="subscript"/>
        </w:rPr>
        <w:t>t</w:t>
      </w:r>
      <w:proofErr w:type="gramStart"/>
      <w:r w:rsidR="001E11F3">
        <w:rPr>
          <w:vertAlign w:val="subscript"/>
        </w:rPr>
        <w:t>,i</w:t>
      </w:r>
      <w:proofErr w:type="spellEnd"/>
      <w:proofErr w:type="gramEnd"/>
      <w:r w:rsidR="00DD7427">
        <w:t xml:space="preserve"> (known). From all this, we see that </w:t>
      </w:r>
      <w:proofErr w:type="spellStart"/>
      <w:r w:rsidR="00DD7427">
        <w:t>x</w:t>
      </w:r>
      <w:r w:rsidR="005065EA" w:rsidRPr="005065EA">
        <w:rPr>
          <w:vertAlign w:val="subscript"/>
        </w:rPr>
        <w:t>s</w:t>
      </w:r>
      <w:r w:rsidR="00DD7427" w:rsidRPr="001E11F3">
        <w:rPr>
          <w:vertAlign w:val="subscript"/>
        </w:rPr>
        <w:t>t</w:t>
      </w:r>
      <w:proofErr w:type="gramStart"/>
      <w:r w:rsidR="001E11F3">
        <w:rPr>
          <w:vertAlign w:val="subscript"/>
        </w:rPr>
        <w:t>,i</w:t>
      </w:r>
      <w:proofErr w:type="spellEnd"/>
      <w:proofErr w:type="gramEnd"/>
      <w:r w:rsidR="00DD7427">
        <w:t xml:space="preserve"> is drawn from a Binomial distribution:</w:t>
      </w:r>
    </w:p>
    <w:p w14:paraId="01601FB5" w14:textId="10EC3EF0" w:rsidR="00DD7427" w:rsidRDefault="00434727" w:rsidP="00675571">
      <w:pPr>
        <w:spacing w:after="240" w:line="288" w:lineRule="auto"/>
        <w:jc w:val="center"/>
      </w:pPr>
      <m:oMath>
        <m:sSub>
          <m:sSubPr>
            <m:ctrlPr>
              <w:rPr>
                <w:rFonts w:ascii="Cambria Math" w:hAnsi="Cambria Math"/>
                <w:i/>
              </w:rPr>
            </m:ctrlPr>
          </m:sSubPr>
          <m:e>
            <m:r>
              <w:rPr>
                <w:rFonts w:ascii="Cambria Math" w:hAnsi="Cambria Math"/>
              </w:rPr>
              <m:t>x</m:t>
            </m:r>
          </m:e>
          <m:sub>
            <m:r>
              <w:rPr>
                <w:rFonts w:ascii="Cambria Math" w:hAnsi="Cambria Math"/>
              </w:rPr>
              <m:t>st,i</m:t>
            </m:r>
          </m:sub>
        </m:sSub>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st</m:t>
                    </m:r>
                  </m:sub>
                </m:sSub>
              </m:num>
              <m:den>
                <m:sSub>
                  <m:sSubPr>
                    <m:ctrlPr>
                      <w:rPr>
                        <w:rFonts w:ascii="Cambria Math" w:hAnsi="Cambria Math"/>
                        <w:i/>
                      </w:rPr>
                    </m:ctrlPr>
                  </m:sSubPr>
                  <m:e>
                    <m:r>
                      <w:rPr>
                        <w:rFonts w:ascii="Cambria Math" w:hAnsi="Cambria Math"/>
                      </w:rPr>
                      <m:t>D</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t</m:t>
                    </m:r>
                  </m:sub>
                </m:sSub>
              </m:den>
            </m:f>
          </m:e>
        </m:d>
      </m:oMath>
      <w:r w:rsidR="00DD7427">
        <w:t>.</w:t>
      </w:r>
    </w:p>
    <w:p w14:paraId="6D5CA133" w14:textId="36F4F6B2" w:rsidR="00A25FE1" w:rsidRDefault="00DD7427" w:rsidP="00675571">
      <w:pPr>
        <w:spacing w:after="240" w:line="288" w:lineRule="auto"/>
      </w:pPr>
      <w:r>
        <w:t xml:space="preserve">Note that </w:t>
      </w:r>
      <w:proofErr w:type="spellStart"/>
      <w:r>
        <w:t>N</w:t>
      </w:r>
      <w:r w:rsidRPr="00DD7427">
        <w:rPr>
          <w:vertAlign w:val="subscript"/>
        </w:rPr>
        <w:t>t</w:t>
      </w:r>
      <w:r w:rsidR="001E11F3">
        <w:rPr>
          <w:vertAlign w:val="subscript"/>
        </w:rPr>
        <w:t>,i</w:t>
      </w:r>
      <w:proofErr w:type="spellEnd"/>
      <w:r>
        <w:t xml:space="preserve"> </w:t>
      </w:r>
      <w:r w:rsidR="001E11F3">
        <w:t>are</w:t>
      </w:r>
      <w:r>
        <w:t xml:space="preserve"> the sole unknown</w:t>
      </w:r>
      <w:r w:rsidR="001E11F3">
        <w:t>s</w:t>
      </w:r>
      <w:r>
        <w:t xml:space="preserve"> here, and so we estimate </w:t>
      </w:r>
      <w:r w:rsidR="001E11F3">
        <w:t>them</w:t>
      </w:r>
      <w:r>
        <w:t xml:space="preserve"> following</w:t>
      </w:r>
      <w:r w:rsidR="00913343">
        <w:t xml:space="preserve"> </w:t>
      </w:r>
      <w:r w:rsidR="00913343">
        <w:fldChar w:fldCharType="begin"/>
      </w:r>
      <w:r w:rsidR="00913343">
        <w:instrText xml:space="preserve"> ADDIN ZOTERO_ITEM CSL_CITATION {"citationID":"Se3npk2d","properties":{"formattedCitation":"(Blumenthal and Dahiya, 1981; Feldman and Fox, 1968)","plainCitation":"(Blumenthal and Dahiya, 1981; Feldman and Fox, 1968)","noteIndex":0},"citationItems":[{"id":34737,"uris":["http://zotero.org/groups/181381/items/4BAVTPSW"],"uri":["http://zotero.org/groups/181381/items/4BAVTPSW"],"itemData":{"id":34737,"type":"article-journal","title":"Estimating the Binomial Parameter n","container-title":"Journal of the American Statistical Association","page":"903-909","volume":"76","issue":"376","source":"JSTOR","archive":"JSTOR","abstract":"Estimating the parameter n of the binomial distribution on the basis of r independent observations has been considered sporadically over the years. Many questions regarding asymptotic and small sample properties of moment, maximum likelihood, and related estimators either have been ignored or have received inadequate treatment. A unified and comprehensive study of these topics is given here. We also consider the problem of zero-truncated observations.","DOI":"10.2307/2287586","ISSN":"0162-1459","author":[{"family":"Blumenthal","given":"Saul"},{"family":"Dahiya","given":"Ram C"}],"issued":{"date-parts":[["1981"]]}}},{"id":34738,"uris":["http://zotero.org/groups/181381/items/YDMMEMBG"],"uri":["http://zotero.org/groups/181381/items/YDMMEMBG"],"itemData":{"id":34738,"type":"article-journal","title":"Estimation of the Parameter n in the Binomial Distribution","container-title":"Journal of the American Statistical Association","page":"150-158","volume":"63","issue":"321","source":"Taylor and Francis+NEJM","abstract":"Let Xi, … Xr, be independent B(n,p) random variables. In this paper n is estimated with known p. The MLE is developed and shown to be consistent in a relative sense and asymptotically normal. Motivated by Yi = Xi/q we consider Y1, … Yr independent N(μ,μ) and examine three estimates of μ; (i) the MVUE, (ii) the MLE, and (iii) . These are shown to be asymptotically equivalent.","DOI":"10.1080/01621459.1968.11009230","ISSN":"0162-1459","author":[{"family":"Feldman","given":"Dorian"},{"family":"Fox","given":"Martin"}],"issued":{"date-parts":[["1968"]]}}}],"schema":"https://github.com/citation-style-language/schema/raw/master/csl-citation.json"} </w:instrText>
      </w:r>
      <w:r w:rsidR="00913343">
        <w:fldChar w:fldCharType="separate"/>
      </w:r>
      <w:r w:rsidR="00913343">
        <w:rPr>
          <w:noProof/>
        </w:rPr>
        <w:t>(Blumenthal and Dahiya, 1981; Feldman and Fox, 1968)</w:t>
      </w:r>
      <w:r w:rsidR="00913343">
        <w:fldChar w:fldCharType="end"/>
      </w:r>
      <w:r w:rsidR="00675571">
        <w:t>.</w:t>
      </w:r>
    </w:p>
    <w:p w14:paraId="073104E5" w14:textId="4FA20DC9" w:rsidR="00E413F0" w:rsidRDefault="00A313A8" w:rsidP="00675571">
      <w:pPr>
        <w:spacing w:after="240" w:line="288" w:lineRule="auto"/>
      </w:pPr>
      <w:r>
        <w:t xml:space="preserve">Note also that plating and counting more than once could reduce the uncertainty in </w:t>
      </w:r>
      <w:proofErr w:type="spellStart"/>
      <w:r>
        <w:t>N</w:t>
      </w:r>
      <w:r w:rsidRPr="001E11F3">
        <w:rPr>
          <w:vertAlign w:val="subscript"/>
        </w:rPr>
        <w:t>t</w:t>
      </w:r>
      <w:proofErr w:type="gramStart"/>
      <w:r w:rsidR="001E11F3" w:rsidRPr="001E11F3">
        <w:rPr>
          <w:vertAlign w:val="subscript"/>
        </w:rPr>
        <w:t>,i</w:t>
      </w:r>
      <w:proofErr w:type="spellEnd"/>
      <w:proofErr w:type="gramEnd"/>
      <w:r>
        <w:t>, but that this is often impractical.</w:t>
      </w:r>
    </w:p>
    <w:p w14:paraId="15FB9789" w14:textId="640E49D3" w:rsidR="00643D1C" w:rsidRDefault="00626552" w:rsidP="00675571">
      <w:pPr>
        <w:spacing w:after="240" w:line="288" w:lineRule="auto"/>
      </w:pPr>
      <w:r>
        <w:t>Another sample, volume V</w:t>
      </w:r>
      <w:r w:rsidRPr="00626552">
        <w:rPr>
          <w:vertAlign w:val="subscript"/>
        </w:rPr>
        <w:t>0</w:t>
      </w:r>
      <w:r w:rsidR="001E11F3" w:rsidRPr="001E11F3">
        <w:t xml:space="preserve"> </w:t>
      </w:r>
      <w:r w:rsidR="001E11F3">
        <w:t>(known)</w:t>
      </w:r>
      <w:r>
        <w:t>, is taken from each test tube and transferred into a flask</w:t>
      </w:r>
      <w:r w:rsidR="001E11F3">
        <w:t xml:space="preserve"> of volume </w:t>
      </w:r>
      <w:proofErr w:type="spellStart"/>
      <w:proofErr w:type="gramStart"/>
      <w:r w:rsidR="001E11F3">
        <w:t>V</w:t>
      </w:r>
      <w:r w:rsidR="001E11F3" w:rsidRPr="001E11F3">
        <w:rPr>
          <w:vertAlign w:val="subscript"/>
        </w:rPr>
        <w:t>f</w:t>
      </w:r>
      <w:proofErr w:type="spellEnd"/>
      <w:proofErr w:type="gramEnd"/>
      <w:r w:rsidR="001E11F3" w:rsidRPr="001E11F3">
        <w:t xml:space="preserve"> </w:t>
      </w:r>
      <w:r w:rsidR="001E11F3">
        <w:t>(known)</w:t>
      </w:r>
      <w:r>
        <w:t>.</w:t>
      </w:r>
      <w:r w:rsidR="001E11F3">
        <w:t xml:space="preserve"> The numbers of cells in this sample will be </w:t>
      </w:r>
      <m:oMath>
        <m:sSub>
          <m:sSubPr>
            <m:ctrlPr>
              <w:rPr>
                <w:rFonts w:ascii="Cambria Math" w:hAnsi="Cambria Math"/>
                <w:i/>
              </w:rPr>
            </m:ctrlPr>
          </m:sSubPr>
          <m:e>
            <m:r>
              <w:rPr>
                <w:rFonts w:ascii="Cambria Math" w:hAnsi="Cambria Math"/>
              </w:rPr>
              <m:t>N</m:t>
            </m:r>
          </m:e>
          <m:sub>
            <m:r>
              <w:rPr>
                <w:rFonts w:ascii="Cambria Math" w:hAnsi="Cambria Math"/>
              </w:rPr>
              <m:t>0,i</m:t>
            </m:r>
          </m:sub>
        </m:sSub>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V</m:t>
                    </m:r>
                  </m:e>
                  <m:sub>
                    <m:r>
                      <w:rPr>
                        <w:rFonts w:ascii="Cambria Math" w:hAnsi="Cambria Math"/>
                      </w:rPr>
                      <m:t>f</m:t>
                    </m:r>
                  </m:sub>
                </m:sSub>
              </m:den>
            </m:f>
          </m:e>
        </m:d>
      </m:oMath>
      <w:r w:rsidR="001E11F3">
        <w:t xml:space="preserve">. </w:t>
      </w:r>
      <w:r w:rsidR="00555079">
        <w:t>The uncertainty in N</w:t>
      </w:r>
      <w:r w:rsidR="00555079" w:rsidRPr="00555079">
        <w:rPr>
          <w:vertAlign w:val="subscript"/>
        </w:rPr>
        <w:t>0</w:t>
      </w:r>
      <w:proofErr w:type="gramStart"/>
      <w:r w:rsidR="00555079" w:rsidRPr="00555079">
        <w:rPr>
          <w:vertAlign w:val="subscript"/>
        </w:rPr>
        <w:t>,i</w:t>
      </w:r>
      <w:proofErr w:type="gramEnd"/>
      <w:r w:rsidR="00555079">
        <w:t xml:space="preserve"> is</w:t>
      </w:r>
      <w:r w:rsidR="00675571">
        <w:t xml:space="preserve"> not considered in the current script that assumes the whole tube is poured into the flask. The culture in the flask</w:t>
      </w:r>
      <w:r w:rsidR="001E11F3">
        <w:t xml:space="preserve"> is then incubate</w:t>
      </w:r>
      <w:r w:rsidR="00675571">
        <w:t>d</w:t>
      </w:r>
      <w:r w:rsidR="00860F6E">
        <w:t xml:space="preserve"> for time T</w:t>
      </w:r>
      <w:r w:rsidR="001E11F3">
        <w:t xml:space="preserve"> and the number of cells of each population is assumed to grow exponentially with rate </w:t>
      </w:r>
      <w:proofErr w:type="spellStart"/>
      <w:proofErr w:type="gramStart"/>
      <w:r w:rsidR="001E11F3">
        <w:t>r</w:t>
      </w:r>
      <w:r w:rsidR="001E11F3" w:rsidRPr="001E11F3">
        <w:rPr>
          <w:vertAlign w:val="subscript"/>
        </w:rPr>
        <w:t>i</w:t>
      </w:r>
      <w:proofErr w:type="spellEnd"/>
      <w:proofErr w:type="gramEnd"/>
      <w:r w:rsidR="001E11F3">
        <w:t xml:space="preserve"> (unknown)</w:t>
      </w:r>
      <w:r w:rsidR="00860F6E">
        <w:t xml:space="preserve"> to </w:t>
      </w:r>
      <m:oMath>
        <m:sSub>
          <m:sSubPr>
            <m:ctrlPr>
              <w:rPr>
                <w:rFonts w:ascii="Cambria Math" w:hAnsi="Cambria Math"/>
                <w:i/>
              </w:rPr>
            </m:ctrlPr>
          </m:sSubPr>
          <m:e>
            <m:r>
              <w:rPr>
                <w:rFonts w:ascii="Cambria Math" w:hAnsi="Cambria Math"/>
              </w:rPr>
              <m:t>N</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0,i</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p>
        </m:sSup>
        <m:r>
          <w:rPr>
            <w:rFonts w:ascii="Cambria Math" w:hAnsi="Cambria Math"/>
          </w:rPr>
          <m:t xml:space="preserve"> </m:t>
        </m:r>
      </m:oMath>
      <w:r w:rsidR="00643D1C">
        <w:t xml:space="preserve"> and so</w:t>
      </w:r>
    </w:p>
    <w:p w14:paraId="3A16AE24" w14:textId="10620FE1" w:rsidR="00626552" w:rsidRDefault="00434727" w:rsidP="00675571">
      <w:pPr>
        <w:spacing w:after="240" w:line="288" w:lineRule="auto"/>
        <w:jc w:val="center"/>
      </w:pP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0,i</m:t>
                    </m:r>
                  </m:sub>
                </m:sSub>
              </m:e>
            </m:d>
          </m:e>
        </m:func>
        <m:r>
          <w:rPr>
            <w:rFonts w:ascii="Cambria Math" w:hAnsi="Cambria Math"/>
          </w:rPr>
          <m:t>/T</m:t>
        </m:r>
      </m:oMath>
      <w:r w:rsidR="001E11F3">
        <w:t>.</w:t>
      </w:r>
    </w:p>
    <w:p w14:paraId="75EA1011" w14:textId="0624F1C5" w:rsidR="006A3D22" w:rsidRDefault="006A3D22" w:rsidP="00675571">
      <w:pPr>
        <w:spacing w:after="240" w:line="288" w:lineRule="auto"/>
      </w:pPr>
      <w:r>
        <w:lastRenderedPageBreak/>
        <w:t xml:space="preserve">A sample of </w:t>
      </w:r>
      <w:r w:rsidR="00FD2D5E">
        <w:t xml:space="preserve">the flask is then taken, plated and counted as before to estimate the </w:t>
      </w:r>
      <w:proofErr w:type="spellStart"/>
      <w:r w:rsidR="00FD2D5E">
        <w:t>x</w:t>
      </w:r>
      <w:r w:rsidR="00FD2D5E" w:rsidRPr="00FD2D5E">
        <w:rPr>
          <w:vertAlign w:val="subscript"/>
        </w:rPr>
        <w:t>f</w:t>
      </w:r>
      <w:proofErr w:type="gramStart"/>
      <w:r w:rsidR="00FD2D5E" w:rsidRPr="00FD2D5E">
        <w:rPr>
          <w:vertAlign w:val="subscript"/>
        </w:rPr>
        <w:t>,i</w:t>
      </w:r>
      <w:proofErr w:type="spellEnd"/>
      <w:proofErr w:type="gramEnd"/>
      <w:r w:rsidR="00FD2D5E">
        <w:t>.</w:t>
      </w:r>
      <w:r w:rsidR="0049254A">
        <w:t xml:space="preserve"> We denote the sample volume to be </w:t>
      </w:r>
      <w:proofErr w:type="spellStart"/>
      <w:r w:rsidR="0049254A">
        <w:t>V</w:t>
      </w:r>
      <w:r w:rsidR="0049254A" w:rsidRPr="0049254A">
        <w:rPr>
          <w:vertAlign w:val="subscript"/>
        </w:rPr>
        <w:t>sf</w:t>
      </w:r>
      <w:proofErr w:type="spellEnd"/>
      <w:r w:rsidR="0049254A">
        <w:t xml:space="preserve">, the dilution </w:t>
      </w:r>
      <w:proofErr w:type="spellStart"/>
      <w:r w:rsidR="0049254A">
        <w:t>D</w:t>
      </w:r>
      <w:r w:rsidR="0049254A" w:rsidRPr="001E75DB">
        <w:rPr>
          <w:vertAlign w:val="subscript"/>
        </w:rPr>
        <w:t>f</w:t>
      </w:r>
      <w:proofErr w:type="spellEnd"/>
      <w:r w:rsidR="0049254A">
        <w:t xml:space="preserve">, and the </w:t>
      </w:r>
      <w:r w:rsidR="001E75DB">
        <w:t xml:space="preserve">colony counts as </w:t>
      </w:r>
      <w:proofErr w:type="spellStart"/>
      <w:r w:rsidR="001E75DB">
        <w:t>x</w:t>
      </w:r>
      <w:r w:rsidR="005065EA" w:rsidRPr="005065EA">
        <w:rPr>
          <w:vertAlign w:val="subscript"/>
        </w:rPr>
        <w:t>s</w:t>
      </w:r>
      <w:r w:rsidR="001E75DB" w:rsidRPr="001E75DB">
        <w:rPr>
          <w:vertAlign w:val="subscript"/>
        </w:rPr>
        <w:t>f</w:t>
      </w:r>
      <w:proofErr w:type="gramStart"/>
      <w:r w:rsidR="001E75DB" w:rsidRPr="001E75DB">
        <w:rPr>
          <w:vertAlign w:val="subscript"/>
        </w:rPr>
        <w:t>,</w:t>
      </w:r>
      <w:r w:rsidR="001E75DB">
        <w:rPr>
          <w:vertAlign w:val="subscript"/>
        </w:rPr>
        <w:t>I</w:t>
      </w:r>
      <w:proofErr w:type="spellEnd"/>
      <w:proofErr w:type="gramEnd"/>
      <w:r w:rsidR="005F0895">
        <w:t>:</w:t>
      </w:r>
    </w:p>
    <w:p w14:paraId="694E792C" w14:textId="28BD6DAB" w:rsidR="005F0895" w:rsidRDefault="00434727" w:rsidP="00675571">
      <w:pPr>
        <w:spacing w:after="240" w:line="288" w:lineRule="auto"/>
        <w:jc w:val="center"/>
      </w:pPr>
      <m:oMath>
        <m:sSub>
          <m:sSubPr>
            <m:ctrlPr>
              <w:rPr>
                <w:rFonts w:ascii="Cambria Math" w:hAnsi="Cambria Math"/>
                <w:i/>
              </w:rPr>
            </m:ctrlPr>
          </m:sSubPr>
          <m:e>
            <m:r>
              <w:rPr>
                <w:rFonts w:ascii="Cambria Math" w:hAnsi="Cambria Math"/>
              </w:rPr>
              <m:t>x</m:t>
            </m:r>
          </m:e>
          <m:sub>
            <m:r>
              <w:rPr>
                <w:rFonts w:ascii="Cambria Math" w:hAnsi="Cambria Math"/>
              </w:rPr>
              <m:t>sf,i</m:t>
            </m:r>
          </m:sub>
        </m:sSub>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f,i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sf</m:t>
                    </m:r>
                  </m:sub>
                </m:sSub>
              </m:num>
              <m:den>
                <m:sSub>
                  <m:sSubPr>
                    <m:ctrlPr>
                      <w:rPr>
                        <w:rFonts w:ascii="Cambria Math" w:hAnsi="Cambria Math"/>
                        <w:i/>
                      </w:rPr>
                    </m:ctrlPr>
                  </m:sSubPr>
                  <m:e>
                    <m:r>
                      <w:rPr>
                        <w:rFonts w:ascii="Cambria Math" w:hAnsi="Cambria Math"/>
                      </w:rPr>
                      <m:t>D</m:t>
                    </m:r>
                  </m:e>
                  <m:sub>
                    <m:r>
                      <w:rPr>
                        <w:rFonts w:ascii="Cambria Math" w:hAnsi="Cambria Math"/>
                      </w:rPr>
                      <m:t>f</m:t>
                    </m:r>
                  </m:sub>
                </m:sSub>
                <m:sSub>
                  <m:sSubPr>
                    <m:ctrlPr>
                      <w:rPr>
                        <w:rFonts w:ascii="Cambria Math" w:hAnsi="Cambria Math"/>
                        <w:i/>
                      </w:rPr>
                    </m:ctrlPr>
                  </m:sSubPr>
                  <m:e>
                    <m:r>
                      <w:rPr>
                        <w:rFonts w:ascii="Cambria Math" w:hAnsi="Cambria Math"/>
                      </w:rPr>
                      <m:t>V</m:t>
                    </m:r>
                  </m:e>
                  <m:sub>
                    <m:r>
                      <w:rPr>
                        <w:rFonts w:ascii="Cambria Math" w:hAnsi="Cambria Math"/>
                      </w:rPr>
                      <m:t>f</m:t>
                    </m:r>
                  </m:sub>
                </m:sSub>
              </m:den>
            </m:f>
          </m:e>
        </m:d>
      </m:oMath>
      <w:r w:rsidR="005F0895">
        <w:t>.</w:t>
      </w:r>
    </w:p>
    <w:p w14:paraId="2F7757E2" w14:textId="30052AB5" w:rsidR="006A3D22" w:rsidRDefault="00B155E4" w:rsidP="00675571">
      <w:pPr>
        <w:spacing w:after="240" w:line="288" w:lineRule="auto"/>
      </w:pPr>
      <w:r>
        <w:t xml:space="preserve">We then estimate </w:t>
      </w:r>
      <w:proofErr w:type="spellStart"/>
      <w:r>
        <w:t>Nf</w:t>
      </w:r>
      <w:proofErr w:type="gramStart"/>
      <w:r>
        <w:t>,i</w:t>
      </w:r>
      <w:proofErr w:type="spellEnd"/>
      <w:proofErr w:type="gramEnd"/>
      <w:r>
        <w:t xml:space="preserve"> and the uncertainty in our estimate in the same manner as for the </w:t>
      </w:r>
      <w:proofErr w:type="spellStart"/>
      <w:r>
        <w:t>N</w:t>
      </w:r>
      <w:r w:rsidRPr="00DD7427">
        <w:rPr>
          <w:vertAlign w:val="subscript"/>
        </w:rPr>
        <w:t>t</w:t>
      </w:r>
      <w:r>
        <w:rPr>
          <w:vertAlign w:val="subscript"/>
        </w:rPr>
        <w:t>,i</w:t>
      </w:r>
      <w:proofErr w:type="spellEnd"/>
      <w:r w:rsidRPr="00B155E4">
        <w:t>.</w:t>
      </w:r>
    </w:p>
    <w:p w14:paraId="0410155D" w14:textId="12C89CC0" w:rsidR="004637D1" w:rsidRDefault="004637D1" w:rsidP="00675571">
      <w:pPr>
        <w:spacing w:after="240" w:line="288" w:lineRule="auto"/>
      </w:pPr>
      <w:r>
        <w:t xml:space="preserve">The uncertainty in the </w:t>
      </w:r>
      <w:r w:rsidR="000E3530">
        <w:t xml:space="preserve">growth </w:t>
      </w:r>
      <w:r>
        <w:t xml:space="preserve">rates </w:t>
      </w:r>
      <w:proofErr w:type="spellStart"/>
      <w:r>
        <w:t>r</w:t>
      </w:r>
      <w:r w:rsidRPr="004637D1">
        <w:rPr>
          <w:vertAlign w:val="subscript"/>
        </w:rPr>
        <w:t>i</w:t>
      </w:r>
      <w:proofErr w:type="spellEnd"/>
      <w:r>
        <w:t xml:space="preserve"> is</w:t>
      </w:r>
      <w:r w:rsidR="00675571">
        <w:t xml:space="preserve"> currently not considered but could be included following</w:t>
      </w:r>
      <w:r>
        <w:t xml:space="preserve"> </w:t>
      </w:r>
      <w:r w:rsidR="003962B9" w:rsidRPr="00675571">
        <w:fldChar w:fldCharType="begin"/>
      </w:r>
      <w:r w:rsidR="003962B9" w:rsidRPr="00675571">
        <w:instrText xml:space="preserve"> ADDIN ZOTERO_ITEM CSL_CITATION {"citationID":"YIgeyJGW","properties":{"formattedCitation":"(Katz et al., 1978)","plainCitation":"(Katz et al., 1978)","noteIndex":0},"citationItems":[{"id":34739,"uris":["http://zotero.org/groups/181381/items/Q7PF95YN"],"uri":["http://zotero.org/groups/181381/items/Q7PF95YN"],"itemData":{"id":34739,"type":"article-journal","title":"Obtaining confidence intervals for the risk ratio in cohort studies","container-title":"Biometrics","page":"469-474","volume":"34","issue":"3","source":"JSTOR","archive":"JSTOR","abstract":"Three methods of obtaining confidence intervals for the risk ratio of failure in two independent binomial samples are compared. The three are (A) the method of Thomas and Gart (1977), (B) an adaptation of the method of Fieller using the normal distribution, and (C) a proposed method using a logarithmic transformation. On the basis of extensive simulations we have concluded that Method A is reasonable but conservative, Method B is erratic and should not be used, and Method C is reasonable and less conservative than Method A. Method C, computationally the simplest, is recommended.","DOI":"10.2307/2530610","ISSN":"0006-341X","author":[{"family":"Katz","given":"D"},{"family":"Baptista","given":"J"},{"family":"Azen","given":"S P"},{"family":"Pike","given":"M C"}],"issued":{"date-parts":[["1978"]]}}}],"schema":"https://github.com/citation-style-language/schema/raw/master/csl-citation.json"} </w:instrText>
      </w:r>
      <w:r w:rsidR="003962B9" w:rsidRPr="00675571">
        <w:fldChar w:fldCharType="separate"/>
      </w:r>
      <w:r w:rsidR="003962B9" w:rsidRPr="00675571">
        <w:rPr>
          <w:noProof/>
        </w:rPr>
        <w:t>(Katz et al., 1978)</w:t>
      </w:r>
      <w:r w:rsidR="003962B9" w:rsidRPr="00675571">
        <w:fldChar w:fldCharType="end"/>
      </w:r>
      <w:r w:rsidR="003962B9" w:rsidRPr="00675571">
        <w:t xml:space="preserve"> </w:t>
      </w:r>
      <w:r w:rsidR="005323F7">
        <w:t>and papers citing it</w:t>
      </w:r>
      <w:r w:rsidR="003962B9" w:rsidRPr="00675571">
        <w:t xml:space="preserve"> but uncertainty is in p rather than in n</w:t>
      </w:r>
      <w:r w:rsidR="005323F7">
        <w:t>.</w:t>
      </w:r>
    </w:p>
    <w:p w14:paraId="10D2BACC" w14:textId="32D2C80F" w:rsidR="00643D1C" w:rsidRDefault="00643D1C" w:rsidP="00675571">
      <w:pPr>
        <w:spacing w:after="240" w:line="288" w:lineRule="auto"/>
      </w:pPr>
      <w:r>
        <w:t>Once we have estimates of N</w:t>
      </w:r>
      <w:r>
        <w:rPr>
          <w:vertAlign w:val="subscript"/>
        </w:rPr>
        <w:t>0</w:t>
      </w:r>
      <w:proofErr w:type="gramStart"/>
      <w:r w:rsidRPr="00643D1C">
        <w:rPr>
          <w:vertAlign w:val="subscript"/>
        </w:rPr>
        <w:t>,i</w:t>
      </w:r>
      <w:proofErr w:type="gramEnd"/>
      <w:r>
        <w:t xml:space="preserve"> and </w:t>
      </w:r>
      <w:proofErr w:type="spellStart"/>
      <w:r w:rsidR="004637D1">
        <w:t>N</w:t>
      </w:r>
      <w:r w:rsidR="004637D1" w:rsidRPr="004637D1">
        <w:rPr>
          <w:vertAlign w:val="subscript"/>
        </w:rPr>
        <w:t>f,i</w:t>
      </w:r>
      <w:proofErr w:type="spellEnd"/>
      <w:r w:rsidR="004637D1">
        <w:t xml:space="preserve">, together with estimates of their uncertainty, we </w:t>
      </w:r>
      <w:r w:rsidR="005323F7">
        <w:t>can calculate relative fitness.</w:t>
      </w:r>
    </w:p>
    <w:p w14:paraId="5B51C46F" w14:textId="564401D7" w:rsidR="001A6407" w:rsidRDefault="001A6407" w:rsidP="00675571">
      <w:pPr>
        <w:spacing w:after="240" w:line="288" w:lineRule="auto"/>
      </w:pPr>
      <w:r>
        <w:t>See the Python code “</w:t>
      </w:r>
      <w:r w:rsidRPr="001A6407">
        <w:t>sampling_confidence_interval.py</w:t>
      </w:r>
      <w:r>
        <w:t>” for further information.</w:t>
      </w:r>
    </w:p>
    <w:p w14:paraId="312B96F4" w14:textId="63E9BE8A" w:rsidR="006A3D22" w:rsidRDefault="00675571" w:rsidP="00675571">
      <w:pPr>
        <w:spacing w:after="240" w:line="288" w:lineRule="auto"/>
      </w:pPr>
      <w:r w:rsidRPr="00675571">
        <w:rPr>
          <w:b/>
        </w:rPr>
        <w:t>Table 1.</w:t>
      </w:r>
      <w:r w:rsidRPr="00675571">
        <w:t xml:space="preserve"> Descriptions of symbols used.</w:t>
      </w:r>
    </w:p>
    <w:tbl>
      <w:tblPr>
        <w:tblStyle w:val="TableGrid"/>
        <w:tblW w:w="0" w:type="auto"/>
        <w:tblLook w:val="04A0" w:firstRow="1" w:lastRow="0" w:firstColumn="1" w:lastColumn="0" w:noHBand="0" w:noVBand="1"/>
      </w:tblPr>
      <w:tblGrid>
        <w:gridCol w:w="4136"/>
        <w:gridCol w:w="4154"/>
      </w:tblGrid>
      <w:tr w:rsidR="00CD2889" w14:paraId="60512FE0" w14:textId="77777777" w:rsidTr="00CD2889">
        <w:tc>
          <w:tcPr>
            <w:tcW w:w="4258" w:type="dxa"/>
          </w:tcPr>
          <w:p w14:paraId="01E5CDDD" w14:textId="0ECDAA1C" w:rsidR="00CD2889" w:rsidRPr="00CD2889" w:rsidRDefault="00CD2889">
            <w:pPr>
              <w:rPr>
                <w:b/>
              </w:rPr>
            </w:pPr>
            <w:r w:rsidRPr="00CD2889">
              <w:rPr>
                <w:b/>
              </w:rPr>
              <w:t>Symbol</w:t>
            </w:r>
          </w:p>
        </w:tc>
        <w:tc>
          <w:tcPr>
            <w:tcW w:w="4258" w:type="dxa"/>
          </w:tcPr>
          <w:p w14:paraId="681748D0" w14:textId="0303A51B" w:rsidR="00CD2889" w:rsidRPr="00CD2889" w:rsidRDefault="00CD2889">
            <w:pPr>
              <w:rPr>
                <w:b/>
              </w:rPr>
            </w:pPr>
            <w:r w:rsidRPr="00CD2889">
              <w:rPr>
                <w:b/>
              </w:rPr>
              <w:t>Description</w:t>
            </w:r>
          </w:p>
        </w:tc>
      </w:tr>
      <w:tr w:rsidR="008D0C1F" w14:paraId="571691AF" w14:textId="77777777" w:rsidTr="00CD2889">
        <w:tc>
          <w:tcPr>
            <w:tcW w:w="4258" w:type="dxa"/>
          </w:tcPr>
          <w:p w14:paraId="13A84C8B" w14:textId="7F30054E" w:rsidR="008D0C1F" w:rsidRDefault="008D0C1F" w:rsidP="00651DC6">
            <w:r>
              <w:t>*</w:t>
            </w:r>
            <w:r w:rsidRPr="008D0C1F">
              <w:rPr>
                <w:vertAlign w:val="subscript"/>
              </w:rPr>
              <w:t>0</w:t>
            </w:r>
          </w:p>
        </w:tc>
        <w:tc>
          <w:tcPr>
            <w:tcW w:w="4258" w:type="dxa"/>
          </w:tcPr>
          <w:p w14:paraId="3A8D3AD3" w14:textId="4EDC4B67" w:rsidR="008D0C1F" w:rsidRDefault="008D0C1F" w:rsidP="0022311E">
            <w:r>
              <w:t>Index for time 0 in the flask</w:t>
            </w:r>
          </w:p>
        </w:tc>
      </w:tr>
      <w:tr w:rsidR="008D0C1F" w14:paraId="4602AA76" w14:textId="77777777" w:rsidTr="00CD2889">
        <w:tc>
          <w:tcPr>
            <w:tcW w:w="4258" w:type="dxa"/>
          </w:tcPr>
          <w:p w14:paraId="00CDDD41" w14:textId="1647144F" w:rsidR="008D0C1F" w:rsidRDefault="008D0C1F" w:rsidP="008D0C1F">
            <w:r>
              <w:t>*</w:t>
            </w:r>
            <w:r>
              <w:rPr>
                <w:vertAlign w:val="subscript"/>
              </w:rPr>
              <w:t>f</w:t>
            </w:r>
          </w:p>
        </w:tc>
        <w:tc>
          <w:tcPr>
            <w:tcW w:w="4258" w:type="dxa"/>
          </w:tcPr>
          <w:p w14:paraId="74ADAE3F" w14:textId="7709CDA4" w:rsidR="008D0C1F" w:rsidRDefault="008D0C1F" w:rsidP="00651DC6">
            <w:r>
              <w:t>Index for the final time in the flask</w:t>
            </w:r>
          </w:p>
        </w:tc>
      </w:tr>
      <w:tr w:rsidR="005065EA" w14:paraId="57D96331" w14:textId="77777777" w:rsidTr="00CD2889">
        <w:tc>
          <w:tcPr>
            <w:tcW w:w="4258" w:type="dxa"/>
          </w:tcPr>
          <w:p w14:paraId="5F6A0094" w14:textId="47D1B2D0" w:rsidR="005065EA" w:rsidRDefault="005065EA" w:rsidP="008D0C1F">
            <w:r>
              <w:t>*</w:t>
            </w:r>
            <w:r w:rsidRPr="005065EA">
              <w:rPr>
                <w:vertAlign w:val="subscript"/>
              </w:rPr>
              <w:t>s</w:t>
            </w:r>
          </w:p>
        </w:tc>
        <w:tc>
          <w:tcPr>
            <w:tcW w:w="4258" w:type="dxa"/>
          </w:tcPr>
          <w:p w14:paraId="00A51313" w14:textId="52C5A8A8" w:rsidR="005065EA" w:rsidRDefault="005065EA" w:rsidP="00651DC6">
            <w:r>
              <w:t>Index for a sample</w:t>
            </w:r>
          </w:p>
        </w:tc>
      </w:tr>
      <w:tr w:rsidR="008D0C1F" w14:paraId="5D72F34B" w14:textId="77777777" w:rsidTr="00CD2889">
        <w:tc>
          <w:tcPr>
            <w:tcW w:w="4258" w:type="dxa"/>
          </w:tcPr>
          <w:p w14:paraId="43C236A3" w14:textId="40274306" w:rsidR="008D0C1F" w:rsidRDefault="008D0C1F" w:rsidP="008D0C1F">
            <w:r>
              <w:t>*</w:t>
            </w:r>
            <w:r>
              <w:rPr>
                <w:vertAlign w:val="subscript"/>
              </w:rPr>
              <w:t>t</w:t>
            </w:r>
          </w:p>
        </w:tc>
        <w:tc>
          <w:tcPr>
            <w:tcW w:w="4258" w:type="dxa"/>
          </w:tcPr>
          <w:p w14:paraId="0CB6D76C" w14:textId="3D431DFD" w:rsidR="008D0C1F" w:rsidRDefault="008D0C1F" w:rsidP="00651DC6">
            <w:r>
              <w:t>Index for the test tube</w:t>
            </w:r>
          </w:p>
        </w:tc>
      </w:tr>
      <w:tr w:rsidR="00CD2889" w14:paraId="0E67E9BD" w14:textId="77777777" w:rsidTr="00CD2889">
        <w:tc>
          <w:tcPr>
            <w:tcW w:w="4258" w:type="dxa"/>
          </w:tcPr>
          <w:p w14:paraId="25A68CD4" w14:textId="63927437" w:rsidR="00CD2889" w:rsidRDefault="00CD2889" w:rsidP="00651DC6">
            <w:r>
              <w:t>D</w:t>
            </w:r>
            <w:r w:rsidR="00651DC6">
              <w:rPr>
                <w:vertAlign w:val="subscript"/>
              </w:rPr>
              <w:t>*</w:t>
            </w:r>
          </w:p>
        </w:tc>
        <w:tc>
          <w:tcPr>
            <w:tcW w:w="4258" w:type="dxa"/>
          </w:tcPr>
          <w:p w14:paraId="01755C70" w14:textId="03C34F67" w:rsidR="00CD2889" w:rsidRDefault="00F5079E" w:rsidP="00651DC6">
            <w:r>
              <w:t>Dilution factor</w:t>
            </w:r>
          </w:p>
        </w:tc>
      </w:tr>
      <w:tr w:rsidR="00CD2889" w14:paraId="3FABA0AD" w14:textId="77777777" w:rsidTr="00CD2889">
        <w:tc>
          <w:tcPr>
            <w:tcW w:w="4258" w:type="dxa"/>
          </w:tcPr>
          <w:p w14:paraId="766510C3" w14:textId="4FD81509" w:rsidR="00CD2889" w:rsidRDefault="00431DAE">
            <w:r>
              <w:t>N</w:t>
            </w:r>
            <w:r w:rsidRPr="00431DAE">
              <w:rPr>
                <w:vertAlign w:val="subscript"/>
              </w:rPr>
              <w:t>*,i</w:t>
            </w:r>
          </w:p>
        </w:tc>
        <w:tc>
          <w:tcPr>
            <w:tcW w:w="4258" w:type="dxa"/>
          </w:tcPr>
          <w:p w14:paraId="1E4106B9" w14:textId="2FABE3D8" w:rsidR="00CD2889" w:rsidRDefault="00431DAE">
            <w:r>
              <w:t>Unknown number of cells of population i</w:t>
            </w:r>
          </w:p>
        </w:tc>
      </w:tr>
      <w:tr w:rsidR="0022311E" w14:paraId="0F1AB594" w14:textId="77777777" w:rsidTr="00CD2889">
        <w:tc>
          <w:tcPr>
            <w:tcW w:w="4258" w:type="dxa"/>
          </w:tcPr>
          <w:p w14:paraId="63313F41" w14:textId="0EB49F3F" w:rsidR="0022311E" w:rsidRDefault="0022311E">
            <w:proofErr w:type="spellStart"/>
            <w:r>
              <w:t>r</w:t>
            </w:r>
            <w:r w:rsidRPr="0022311E">
              <w:rPr>
                <w:vertAlign w:val="subscript"/>
              </w:rPr>
              <w:t>i</w:t>
            </w:r>
            <w:proofErr w:type="spellEnd"/>
          </w:p>
        </w:tc>
        <w:tc>
          <w:tcPr>
            <w:tcW w:w="4258" w:type="dxa"/>
          </w:tcPr>
          <w:p w14:paraId="73549666" w14:textId="424DFB5E" w:rsidR="0022311E" w:rsidRDefault="0022311E">
            <w:r>
              <w:t>Growth rate of population i</w:t>
            </w:r>
          </w:p>
        </w:tc>
      </w:tr>
      <w:tr w:rsidR="00E23D5E" w14:paraId="18AA5FB2" w14:textId="77777777" w:rsidTr="00CD2889">
        <w:tc>
          <w:tcPr>
            <w:tcW w:w="4258" w:type="dxa"/>
          </w:tcPr>
          <w:p w14:paraId="4E4D4E17" w14:textId="45579BF8" w:rsidR="00E23D5E" w:rsidRDefault="00E23D5E">
            <w:r>
              <w:t>V</w:t>
            </w:r>
            <w:r w:rsidRPr="00E23D5E">
              <w:rPr>
                <w:vertAlign w:val="subscript"/>
              </w:rPr>
              <w:t>*</w:t>
            </w:r>
          </w:p>
        </w:tc>
        <w:tc>
          <w:tcPr>
            <w:tcW w:w="4258" w:type="dxa"/>
          </w:tcPr>
          <w:p w14:paraId="06B99589" w14:textId="167DDC39" w:rsidR="00E23D5E" w:rsidRDefault="00E23D5E">
            <w:r>
              <w:t>Volume</w:t>
            </w:r>
            <w:r w:rsidR="00E73400">
              <w:t xml:space="preserve"> of a tube, flask, or sample</w:t>
            </w:r>
          </w:p>
        </w:tc>
      </w:tr>
      <w:tr w:rsidR="00E23D5E" w14:paraId="7D35AA28" w14:textId="77777777" w:rsidTr="00CD2889">
        <w:tc>
          <w:tcPr>
            <w:tcW w:w="4258" w:type="dxa"/>
          </w:tcPr>
          <w:p w14:paraId="5B25E89C" w14:textId="2638760A" w:rsidR="00E23D5E" w:rsidRDefault="00E23D5E">
            <w:r>
              <w:t>x</w:t>
            </w:r>
            <w:r w:rsidRPr="00E23D5E">
              <w:rPr>
                <w:vertAlign w:val="subscript"/>
              </w:rPr>
              <w:t>*,i</w:t>
            </w:r>
          </w:p>
        </w:tc>
        <w:tc>
          <w:tcPr>
            <w:tcW w:w="4258" w:type="dxa"/>
          </w:tcPr>
          <w:p w14:paraId="5859844F" w14:textId="59EC0ACD" w:rsidR="00E23D5E" w:rsidRDefault="00E23D5E" w:rsidP="00431DAE">
            <w:r>
              <w:t xml:space="preserve">Number of colonies of population </w:t>
            </w:r>
            <w:r w:rsidR="00431DAE">
              <w:t xml:space="preserve">i </w:t>
            </w:r>
            <w:r>
              <w:t>counted on a plate</w:t>
            </w:r>
          </w:p>
        </w:tc>
      </w:tr>
    </w:tbl>
    <w:p w14:paraId="77BBDD0E" w14:textId="77777777" w:rsidR="00061E42" w:rsidRDefault="00061E42"/>
    <w:p w14:paraId="704ADFC9" w14:textId="3124E948" w:rsidR="006A3D22" w:rsidRDefault="006A3D22" w:rsidP="006A3D22">
      <w:pPr>
        <w:pStyle w:val="Heading2"/>
      </w:pPr>
      <w:r>
        <w:t>References</w:t>
      </w:r>
    </w:p>
    <w:p w14:paraId="7EE69160" w14:textId="77777777" w:rsidR="003962B9" w:rsidRPr="003962B9" w:rsidRDefault="006A3D22" w:rsidP="003962B9">
      <w:pPr>
        <w:pStyle w:val="Bibliography"/>
        <w:rPr>
          <w:rFonts w:ascii="Cambria"/>
          <w:lang w:val="en-US"/>
        </w:rPr>
      </w:pPr>
      <w:r w:rsidRPr="006A3D22">
        <w:rPr>
          <w:b/>
        </w:rPr>
        <w:fldChar w:fldCharType="begin"/>
      </w:r>
      <w:r w:rsidRPr="006A3D22">
        <w:rPr>
          <w:b/>
        </w:rPr>
        <w:instrText xml:space="preserve"> ADDIN ZOTERO_BIBL {"uncited":[],"omitted":[],"custom":[]} CSL_BIBLIOGRAPHY </w:instrText>
      </w:r>
      <w:r w:rsidRPr="006A3D22">
        <w:rPr>
          <w:b/>
        </w:rPr>
        <w:fldChar w:fldCharType="separate"/>
      </w:r>
      <w:r w:rsidR="003962B9" w:rsidRPr="003962B9">
        <w:rPr>
          <w:rFonts w:ascii="Cambria"/>
          <w:lang w:val="en-US"/>
        </w:rPr>
        <w:t xml:space="preserve">Blumenthal, S. and Dahiya, R. C. (1981) ‘Estimating the Binomial Parameter n’, </w:t>
      </w:r>
      <w:r w:rsidR="003962B9" w:rsidRPr="003962B9">
        <w:rPr>
          <w:rFonts w:ascii="Cambria"/>
          <w:i/>
          <w:iCs/>
          <w:lang w:val="en-US"/>
        </w:rPr>
        <w:t>Journal of the American Statistical Association</w:t>
      </w:r>
      <w:r w:rsidR="003962B9" w:rsidRPr="003962B9">
        <w:rPr>
          <w:rFonts w:ascii="Cambria"/>
          <w:lang w:val="en-US"/>
        </w:rPr>
        <w:t>, vol. 76, no. 376, pp. 903–909 [Online]. DOI: 10.2307/2287586.</w:t>
      </w:r>
    </w:p>
    <w:p w14:paraId="6E640B34" w14:textId="77777777" w:rsidR="003962B9" w:rsidRPr="003962B9" w:rsidRDefault="003962B9" w:rsidP="003962B9">
      <w:pPr>
        <w:pStyle w:val="Bibliography"/>
        <w:rPr>
          <w:rFonts w:ascii="Cambria"/>
          <w:lang w:val="en-US"/>
        </w:rPr>
      </w:pPr>
      <w:r w:rsidRPr="003962B9">
        <w:rPr>
          <w:rFonts w:ascii="Cambria"/>
          <w:lang w:val="en-US"/>
        </w:rPr>
        <w:t xml:space="preserve">Feldman, D. and Fox, M. (1968) ‘Estimation of the Parameter n in the Binomial Distribution’, </w:t>
      </w:r>
      <w:r w:rsidRPr="003962B9">
        <w:rPr>
          <w:rFonts w:ascii="Cambria"/>
          <w:i/>
          <w:iCs/>
          <w:lang w:val="en-US"/>
        </w:rPr>
        <w:t>Journal of the American Statistical Association</w:t>
      </w:r>
      <w:r w:rsidRPr="003962B9">
        <w:rPr>
          <w:rFonts w:ascii="Cambria"/>
          <w:lang w:val="en-US"/>
        </w:rPr>
        <w:t>, vol. 63, no. 321, pp. 150–158 [Online]. DOI: 10.1080/01621459.1968.11009230.</w:t>
      </w:r>
    </w:p>
    <w:p w14:paraId="0378175C" w14:textId="694FBB65" w:rsidR="006A3D22" w:rsidRDefault="003962B9" w:rsidP="00F22576">
      <w:pPr>
        <w:pStyle w:val="Bibliography"/>
      </w:pPr>
      <w:r w:rsidRPr="003962B9">
        <w:rPr>
          <w:rFonts w:ascii="Cambria"/>
          <w:lang w:val="en-US"/>
        </w:rPr>
        <w:t xml:space="preserve">Katz, D., Baptista, J., Azen, S. P. and Pike, M. C. (1978) ‘Obtaining confidence intervals for the risk ratio in cohort studies’, </w:t>
      </w:r>
      <w:r w:rsidRPr="003962B9">
        <w:rPr>
          <w:rFonts w:ascii="Cambria"/>
          <w:i/>
          <w:iCs/>
          <w:lang w:val="en-US"/>
        </w:rPr>
        <w:t>Biometrics</w:t>
      </w:r>
      <w:r w:rsidRPr="003962B9">
        <w:rPr>
          <w:rFonts w:ascii="Cambria"/>
          <w:lang w:val="en-US"/>
        </w:rPr>
        <w:t>, vol. 34, no. 3, pp. 469–474 [Online]. DOI: 10.2307/2530610.</w:t>
      </w:r>
      <w:r w:rsidR="006A3D22" w:rsidRPr="006A3D22">
        <w:fldChar w:fldCharType="end"/>
      </w:r>
    </w:p>
    <w:sectPr w:rsidR="006A3D22" w:rsidSect="002B448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27A"/>
    <w:rsid w:val="00061E42"/>
    <w:rsid w:val="0006340F"/>
    <w:rsid w:val="00072616"/>
    <w:rsid w:val="000E3530"/>
    <w:rsid w:val="001A096F"/>
    <w:rsid w:val="001A6407"/>
    <w:rsid w:val="001E11F3"/>
    <w:rsid w:val="001E75DB"/>
    <w:rsid w:val="0022311E"/>
    <w:rsid w:val="00244B14"/>
    <w:rsid w:val="002B448E"/>
    <w:rsid w:val="003962B9"/>
    <w:rsid w:val="00431DAE"/>
    <w:rsid w:val="00434727"/>
    <w:rsid w:val="004637D1"/>
    <w:rsid w:val="0049254A"/>
    <w:rsid w:val="005065EA"/>
    <w:rsid w:val="005323F7"/>
    <w:rsid w:val="00555079"/>
    <w:rsid w:val="005F0895"/>
    <w:rsid w:val="00626552"/>
    <w:rsid w:val="00643D1C"/>
    <w:rsid w:val="00651DC6"/>
    <w:rsid w:val="00675571"/>
    <w:rsid w:val="006A3D22"/>
    <w:rsid w:val="00860F6E"/>
    <w:rsid w:val="008D0C1F"/>
    <w:rsid w:val="00913343"/>
    <w:rsid w:val="00962CDB"/>
    <w:rsid w:val="00A25FE1"/>
    <w:rsid w:val="00A313A8"/>
    <w:rsid w:val="00A41FD2"/>
    <w:rsid w:val="00B155E4"/>
    <w:rsid w:val="00CD2889"/>
    <w:rsid w:val="00CE4928"/>
    <w:rsid w:val="00CE6CF9"/>
    <w:rsid w:val="00D60514"/>
    <w:rsid w:val="00D64534"/>
    <w:rsid w:val="00DA07F7"/>
    <w:rsid w:val="00DA2409"/>
    <w:rsid w:val="00DD527A"/>
    <w:rsid w:val="00DD7427"/>
    <w:rsid w:val="00E23D5E"/>
    <w:rsid w:val="00E413F0"/>
    <w:rsid w:val="00E73400"/>
    <w:rsid w:val="00ED64BF"/>
    <w:rsid w:val="00F22576"/>
    <w:rsid w:val="00F26303"/>
    <w:rsid w:val="00F5079E"/>
    <w:rsid w:val="00FD2D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885DB6"/>
  <w14:defaultImageDpi w14:val="300"/>
  <w15:docId w15:val="{3AD2DD08-A0C1-4618-B9AA-8FB3AE853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67557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413F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ionText">
    <w:name w:val="CaptionText"/>
    <w:basedOn w:val="Normal"/>
    <w:next w:val="Normal"/>
    <w:qFormat/>
    <w:rsid w:val="00072616"/>
    <w:pPr>
      <w:spacing w:before="120" w:after="240"/>
      <w:jc w:val="both"/>
    </w:pPr>
    <w:rPr>
      <w:rFonts w:ascii="Garamond" w:eastAsia="MS Mincho" w:hAnsi="Garamond" w:cs="Times New Roman"/>
    </w:rPr>
  </w:style>
  <w:style w:type="paragraph" w:styleId="Caption">
    <w:name w:val="caption"/>
    <w:next w:val="CaptionText"/>
    <w:uiPriority w:val="35"/>
    <w:unhideWhenUsed/>
    <w:qFormat/>
    <w:rsid w:val="00072616"/>
    <w:rPr>
      <w:rFonts w:ascii="Garamond" w:eastAsia="MS Mincho" w:hAnsi="Garamond" w:cs="Times New Roman"/>
      <w:b/>
      <w:bCs/>
      <w:szCs w:val="18"/>
    </w:rPr>
  </w:style>
  <w:style w:type="paragraph" w:customStyle="1" w:styleId="NormalFirst">
    <w:name w:val="Normal First"/>
    <w:basedOn w:val="Normal"/>
    <w:next w:val="Normal"/>
    <w:qFormat/>
    <w:rsid w:val="00072616"/>
    <w:pPr>
      <w:spacing w:line="480" w:lineRule="auto"/>
      <w:jc w:val="both"/>
    </w:pPr>
    <w:rPr>
      <w:rFonts w:ascii="Garamond" w:eastAsia="MS Mincho" w:hAnsi="Garamond" w:cs="Times New Roman"/>
    </w:rPr>
  </w:style>
  <w:style w:type="paragraph" w:styleId="Quote">
    <w:name w:val="Quote"/>
    <w:basedOn w:val="Normal"/>
    <w:next w:val="Normal"/>
    <w:link w:val="QuoteChar"/>
    <w:uiPriority w:val="29"/>
    <w:qFormat/>
    <w:rsid w:val="00072616"/>
    <w:pPr>
      <w:spacing w:line="480" w:lineRule="auto"/>
      <w:ind w:firstLine="720"/>
      <w:contextualSpacing/>
      <w:jc w:val="both"/>
    </w:pPr>
    <w:rPr>
      <w:rFonts w:ascii="Garamond" w:eastAsia="MS Mincho" w:hAnsi="Garamond" w:cs="Times New Roman"/>
      <w:i/>
      <w:iCs/>
      <w:color w:val="000000" w:themeColor="text1"/>
    </w:rPr>
  </w:style>
  <w:style w:type="character" w:customStyle="1" w:styleId="QuoteChar">
    <w:name w:val="Quote Char"/>
    <w:basedOn w:val="DefaultParagraphFont"/>
    <w:link w:val="Quote"/>
    <w:uiPriority w:val="29"/>
    <w:rsid w:val="00072616"/>
    <w:rPr>
      <w:rFonts w:ascii="Garamond" w:eastAsia="MS Mincho" w:hAnsi="Garamond" w:cs="Times New Roman"/>
      <w:i/>
      <w:iCs/>
      <w:color w:val="000000" w:themeColor="text1"/>
      <w:lang w:val="en-GB"/>
    </w:rPr>
  </w:style>
  <w:style w:type="character" w:customStyle="1" w:styleId="Heading2Char">
    <w:name w:val="Heading 2 Char"/>
    <w:basedOn w:val="DefaultParagraphFont"/>
    <w:link w:val="Heading2"/>
    <w:uiPriority w:val="9"/>
    <w:rsid w:val="00E413F0"/>
    <w:rPr>
      <w:rFonts w:asciiTheme="majorHAnsi" w:eastAsiaTheme="majorEastAsia" w:hAnsiTheme="majorHAnsi" w:cstheme="majorBidi"/>
      <w:b/>
      <w:bCs/>
      <w:color w:val="4F81BD" w:themeColor="accent1"/>
      <w:sz w:val="26"/>
      <w:szCs w:val="26"/>
      <w:lang w:val="en-GB"/>
    </w:rPr>
  </w:style>
  <w:style w:type="character" w:styleId="PlaceholderText">
    <w:name w:val="Placeholder Text"/>
    <w:basedOn w:val="DefaultParagraphFont"/>
    <w:uiPriority w:val="99"/>
    <w:semiHidden/>
    <w:rsid w:val="00DD7427"/>
    <w:rPr>
      <w:color w:val="808080"/>
    </w:rPr>
  </w:style>
  <w:style w:type="paragraph" w:styleId="Bibliography">
    <w:name w:val="Bibliography"/>
    <w:basedOn w:val="Normal"/>
    <w:next w:val="Normal"/>
    <w:uiPriority w:val="37"/>
    <w:unhideWhenUsed/>
    <w:rsid w:val="006A3D22"/>
    <w:pPr>
      <w:spacing w:after="240"/>
    </w:pPr>
  </w:style>
  <w:style w:type="table" w:styleId="TableGrid">
    <w:name w:val="Table Grid"/>
    <w:basedOn w:val="TableNormal"/>
    <w:uiPriority w:val="59"/>
    <w:rsid w:val="00CD28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75571"/>
    <w:rPr>
      <w:rFonts w:asciiTheme="majorHAnsi" w:eastAsiaTheme="majorEastAsia" w:hAnsiTheme="majorHAnsi" w:cstheme="majorBidi"/>
      <w:color w:val="365F91" w:themeColor="accent1" w:themeShade="BF"/>
      <w:sz w:val="32"/>
      <w:szCs w:val="32"/>
      <w:lang w:val="en-GB"/>
    </w:rPr>
  </w:style>
  <w:style w:type="character" w:styleId="Hyperlink">
    <w:name w:val="Hyperlink"/>
    <w:basedOn w:val="DefaultParagraphFont"/>
    <w:uiPriority w:val="99"/>
    <w:unhideWhenUsed/>
    <w:rsid w:val="001A64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203338">
      <w:bodyDiv w:val="1"/>
      <w:marLeft w:val="0"/>
      <w:marRight w:val="0"/>
      <w:marTop w:val="0"/>
      <w:marBottom w:val="0"/>
      <w:divBdr>
        <w:top w:val="none" w:sz="0" w:space="0" w:color="auto"/>
        <w:left w:val="none" w:sz="0" w:space="0" w:color="auto"/>
        <w:bottom w:val="none" w:sz="0" w:space="0" w:color="auto"/>
        <w:right w:val="none" w:sz="0" w:space="0" w:color="auto"/>
      </w:divBdr>
      <w:divsChild>
        <w:div w:id="135798833">
          <w:marLeft w:val="0"/>
          <w:marRight w:val="0"/>
          <w:marTop w:val="75"/>
          <w:marBottom w:val="0"/>
          <w:divBdr>
            <w:top w:val="none" w:sz="0" w:space="0" w:color="auto"/>
            <w:left w:val="none" w:sz="0" w:space="0" w:color="auto"/>
            <w:bottom w:val="none" w:sz="0" w:space="0" w:color="auto"/>
            <w:right w:val="none" w:sz="0" w:space="0" w:color="auto"/>
          </w:divBdr>
        </w:div>
        <w:div w:id="329481646">
          <w:marLeft w:val="0"/>
          <w:marRight w:val="0"/>
          <w:marTop w:val="75"/>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iorxiv.org/content/10.1101/2020.09.17.302794v2" TargetMode="External"/><Relationship Id="rId4" Type="http://schemas.openxmlformats.org/officeDocument/2006/relationships/hyperlink" Target="https://doi.org/10.1101/2020.09.17.3027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1137</Words>
  <Characters>6484</Characters>
  <Application>Microsoft Office Word</Application>
  <DocSecurity>0</DocSecurity>
  <Lines>54</Lines>
  <Paragraphs>15</Paragraphs>
  <ScaleCrop>false</ScaleCrop>
  <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Clegg</dc:creator>
  <cp:keywords/>
  <dc:description/>
  <cp:lastModifiedBy>Jan Kreft</cp:lastModifiedBy>
  <cp:revision>6</cp:revision>
  <dcterms:created xsi:type="dcterms:W3CDTF">2021-10-03T07:45:00Z</dcterms:created>
  <dcterms:modified xsi:type="dcterms:W3CDTF">2021-10-03T08:51:00Z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zotero-version="5.0.76"&gt;&lt;session id="L0YmNMO2"/&gt;&lt;style id="http://www.zotero.org/styles/the-open-university-harvard" hasBibliography="1" bibliographyStyleHasBeenSet="1"/&gt;&lt;prefs&gt;&lt;pref name="fieldType" value="Field"/&gt;&lt;pref name="dontA</vt:lpwstr>
  </property>
  <property fmtid="{D5CDD505-2E9C-101B-9397-08002B2CF9AE}" pid="3" name="ZOTERO_PREF_2">
    <vt:lpwstr>skDelayCitationUpdates" value="true"/&gt;&lt;/prefs&gt;&lt;/data&gt;</vt:lpwstr>
  </property>
</Properties>
</file>