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a4c32eb09c69779952e4cb7727101f8662938b8"/>
    <w:p>
      <w:pPr>
        <w:pStyle w:val="Heading1"/>
      </w:pPr>
      <w:r>
        <w:t xml:space="preserve">Formulario 2 - PIGEM: Plataforma Integral de Gestión de Evacuaciones Multiamenaza</w:t>
      </w:r>
    </w:p>
    <w:bookmarkStart w:id="9" w:name="descripción-general"/>
    <w:p>
      <w:pPr>
        <w:pStyle w:val="Heading2"/>
      </w:pPr>
      <w:r>
        <w:t xml:space="preserve">📋 Descripción General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Formulario 2</w:t>
      </w:r>
      <w:r>
        <w:t xml:space="preserve"> </w:t>
      </w:r>
      <w:r>
        <w:t xml:space="preserve">constituye el documento técnico-científico integral que fundamenta el desarrollo de la</w:t>
      </w:r>
      <w:r>
        <w:t xml:space="preserve"> </w:t>
      </w:r>
      <w:r>
        <w:rPr>
          <w:b/>
          <w:bCs/>
        </w:rPr>
        <w:t xml:space="preserve">Plataforma Integral de Gestión de Evacuaciones Multiamenaza (PIGEM)</w:t>
      </w:r>
      <w:r>
        <w:t xml:space="preserve">. Este documento presenta la propuesta completa para un sistema avanzado de simulación y gestión de evacuaciones masivas, dirigido específicamente al contexto chileno de riesgos multiamenaza.</w:t>
      </w:r>
    </w:p>
    <w:bookmarkEnd w:id="9"/>
    <w:bookmarkStart w:id="10" w:name="propósito-del-documento"/>
    <w:p>
      <w:pPr>
        <w:pStyle w:val="Heading2"/>
      </w:pPr>
      <w:r>
        <w:t xml:space="preserve">🎯 Propósito del Documento</w:t>
      </w:r>
    </w:p>
    <w:p>
      <w:pPr>
        <w:pStyle w:val="FirstParagraph"/>
      </w:pPr>
      <w:r>
        <w:t xml:space="preserve">Este formulario técnico tiene como objetivo: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Justificar científicamente</w:t>
      </w:r>
      <w:r>
        <w:t xml:space="preserve"> </w:t>
      </w:r>
      <w:r>
        <w:t xml:space="preserve">la necesidad de una plataforma nacional de gestión de evacuaciones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Fundamentar tecnológicamente</w:t>
      </w:r>
      <w:r>
        <w:t xml:space="preserve"> </w:t>
      </w:r>
      <w:r>
        <w:t xml:space="preserve">el enfoque híbrido ABM-DES propuesto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Demostrar viabilidad</w:t>
      </w:r>
      <w:r>
        <w:t xml:space="preserve"> </w:t>
      </w:r>
      <w:r>
        <w:t xml:space="preserve">técnica, económica y operacional del proyecto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Establecer metodología</w:t>
      </w:r>
      <w:r>
        <w:t xml:space="preserve"> </w:t>
      </w:r>
      <w:r>
        <w:t xml:space="preserve">de desarrollo, validación y transferencia tecnológica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Definir estrategia</w:t>
      </w:r>
      <w:r>
        <w:t xml:space="preserve"> </w:t>
      </w:r>
      <w:r>
        <w:t xml:space="preserve">de masificación y sostenibilidad a largo plazo</w:t>
      </w:r>
    </w:p>
    <w:bookmarkEnd w:id="10"/>
    <w:bookmarkStart w:id="28" w:name="estructura-del-documento"/>
    <w:p>
      <w:pPr>
        <w:pStyle w:val="Heading2"/>
      </w:pPr>
      <w:r>
        <w:t xml:space="preserve">📖 Estructura del Documento</w:t>
      </w:r>
    </w:p>
    <w:bookmarkStart w:id="17" w:name="justificación-técnica-y-científica"/>
    <w:p>
      <w:pPr>
        <w:pStyle w:val="Heading3"/>
      </w:pPr>
      <w:r>
        <w:rPr>
          <w:b/>
          <w:bCs/>
        </w:rPr>
        <w:t xml:space="preserve">1. Justificación Técnica y Científica</w:t>
      </w:r>
    </w:p>
    <w:bookmarkStart w:id="11" w:name="problemática-nacional"/>
    <w:p>
      <w:pPr>
        <w:pStyle w:val="Heading4"/>
      </w:pPr>
      <w:r>
        <w:t xml:space="preserve">1.1 Problemática Nacional</w:t>
      </w:r>
    </w:p>
    <w:p>
      <w:pPr>
        <w:pStyle w:val="Compact"/>
        <w:numPr>
          <w:ilvl w:val="0"/>
          <w:numId w:val="1002"/>
        </w:numPr>
      </w:pPr>
      <w:r>
        <w:t xml:space="preserve">Análisis del contexto chileno de riesgos multiamenaza</w:t>
      </w:r>
    </w:p>
    <w:p>
      <w:pPr>
        <w:pStyle w:val="Compact"/>
        <w:numPr>
          <w:ilvl w:val="0"/>
          <w:numId w:val="1002"/>
        </w:numPr>
      </w:pPr>
      <w:r>
        <w:t xml:space="preserve">Identificación de brechas en capacidades actuales</w:t>
      </w:r>
    </w:p>
    <w:p>
      <w:pPr>
        <w:pStyle w:val="Compact"/>
        <w:numPr>
          <w:ilvl w:val="0"/>
          <w:numId w:val="1002"/>
        </w:numPr>
      </w:pPr>
      <w:r>
        <w:t xml:space="preserve">Cuantificación del impacto de desastres naturales</w:t>
      </w:r>
    </w:p>
    <w:bookmarkEnd w:id="11"/>
    <w:bookmarkStart w:id="12" w:name="estado-del-arte-internacional"/>
    <w:p>
      <w:pPr>
        <w:pStyle w:val="Heading4"/>
      </w:pPr>
      <w:r>
        <w:t xml:space="preserve">1.2 Estado del Arte Internacional</w:t>
      </w:r>
    </w:p>
    <w:p>
      <w:pPr>
        <w:pStyle w:val="Compact"/>
        <w:numPr>
          <w:ilvl w:val="0"/>
          <w:numId w:val="1003"/>
        </w:numPr>
      </w:pPr>
      <w:r>
        <w:t xml:space="preserve">Revisión de marcos conceptuales avanzados</w:t>
      </w:r>
    </w:p>
    <w:p>
      <w:pPr>
        <w:pStyle w:val="Compact"/>
        <w:numPr>
          <w:ilvl w:val="0"/>
          <w:numId w:val="1003"/>
        </w:numPr>
      </w:pPr>
      <w:r>
        <w:t xml:space="preserve">Análisis de metodologías de simulación de evacuaciones</w:t>
      </w:r>
    </w:p>
    <w:p>
      <w:pPr>
        <w:pStyle w:val="Compact"/>
        <w:numPr>
          <w:ilvl w:val="0"/>
          <w:numId w:val="1003"/>
        </w:numPr>
      </w:pPr>
      <w:r>
        <w:t xml:space="preserve">Evaluación de tecnologías emergentes aplicables</w:t>
      </w:r>
    </w:p>
    <w:bookmarkEnd w:id="12"/>
    <w:bookmarkStart w:id="13" w:name="análisis-comparativo-de-soluciones"/>
    <w:p>
      <w:pPr>
        <w:pStyle w:val="Heading4"/>
      </w:pPr>
      <w:r>
        <w:t xml:space="preserve">1.3 Análisis Comparativo de Soluciones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1.3a) Soluciones en Desarrollo</w:t>
      </w:r>
      <w:r>
        <w:t xml:space="preserve">: Plataformas académicas y de investigación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1.3b) Soluciones Comerciales</w:t>
      </w:r>
      <w:r>
        <w:t xml:space="preserve">: HAZUS, ArcGIS Emergency Management, WebEOC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1.3c) Brechas y Oportunidades</w:t>
      </w:r>
      <w:r>
        <w:t xml:space="preserve">: Identificación de espacios de innovación</w:t>
      </w:r>
    </w:p>
    <w:bookmarkEnd w:id="13"/>
    <w:bookmarkStart w:id="14" w:name="hipótesis-de-investigación"/>
    <w:p>
      <w:pPr>
        <w:pStyle w:val="Heading4"/>
      </w:pPr>
      <w:r>
        <w:t xml:space="preserve">1.5 Hipótesis de Investigación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H1</w:t>
      </w:r>
      <w:r>
        <w:t xml:space="preserve">: Simulación híbrida ABM-DES mejora precisión predictiva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H2</w:t>
      </w:r>
      <w:r>
        <w:t xml:space="preserve">: Interfaces adaptativas incrementan efectividad en toma de decisiones</w:t>
      </w:r>
    </w:p>
    <w:bookmarkEnd w:id="14"/>
    <w:bookmarkStart w:id="15" w:name="objetivos-estratégicos"/>
    <w:p>
      <w:pPr>
        <w:pStyle w:val="Heading4"/>
      </w:pPr>
      <w:r>
        <w:t xml:space="preserve">1.6 Objetivos Estratégicos</w:t>
      </w:r>
    </w:p>
    <w:p>
      <w:pPr>
        <w:pStyle w:val="Compact"/>
        <w:numPr>
          <w:ilvl w:val="0"/>
          <w:numId w:val="1006"/>
        </w:numPr>
      </w:pPr>
      <w:r>
        <w:t xml:space="preserve">Objetivo general y 5 objetivos específicos measurables</w:t>
      </w:r>
    </w:p>
    <w:p>
      <w:pPr>
        <w:pStyle w:val="Compact"/>
        <w:numPr>
          <w:ilvl w:val="0"/>
          <w:numId w:val="1006"/>
        </w:numPr>
      </w:pPr>
      <w:r>
        <w:t xml:space="preserve">Indicadores de éxito y métricas de validación</w:t>
      </w:r>
    </w:p>
    <w:bookmarkEnd w:id="15"/>
    <w:bookmarkStart w:id="16" w:name="metodología-de-id"/>
    <w:p>
      <w:pPr>
        <w:pStyle w:val="Heading4"/>
      </w:pPr>
      <w:r>
        <w:t xml:space="preserve">1.7 Metodología de I+D</w:t>
      </w:r>
    </w:p>
    <w:p>
      <w:pPr>
        <w:pStyle w:val="Compact"/>
        <w:numPr>
          <w:ilvl w:val="0"/>
          <w:numId w:val="1007"/>
        </w:numPr>
      </w:pPr>
      <w:r>
        <w:t xml:space="preserve">Enfoque de investigación aplicada y desarrollo experimental</w:t>
      </w:r>
    </w:p>
    <w:p>
      <w:pPr>
        <w:pStyle w:val="Compact"/>
        <w:numPr>
          <w:ilvl w:val="0"/>
          <w:numId w:val="1007"/>
        </w:numPr>
      </w:pPr>
      <w:r>
        <w:t xml:space="preserve">5 fases interconectadas desde conceptualización hasta transferencia</w:t>
      </w:r>
    </w:p>
    <w:bookmarkEnd w:id="16"/>
    <w:bookmarkEnd w:id="17"/>
    <w:bookmarkStart w:id="23" w:name="X063e7fa035ad7d7a313d2f54f751108e8f615b0"/>
    <w:p>
      <w:pPr>
        <w:pStyle w:val="Heading3"/>
      </w:pPr>
      <w:r>
        <w:rPr>
          <w:b/>
          <w:bCs/>
        </w:rPr>
        <w:t xml:space="preserve">2. Propuesta de Valor y Estrategia Comercial</w:t>
      </w:r>
    </w:p>
    <w:bookmarkStart w:id="18" w:name="descripción-de-la-plataforma-pigem"/>
    <w:p>
      <w:pPr>
        <w:pStyle w:val="Heading4"/>
      </w:pPr>
      <w:r>
        <w:t xml:space="preserve">2.1 Descripción de la Plataforma PIGEM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Arquitectura tecnológica</w:t>
      </w:r>
      <w:r>
        <w:t xml:space="preserve">: Microservicios, APIs, interfaces adaptativas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Capacidades funcionales</w:t>
      </w:r>
      <w:r>
        <w:t xml:space="preserve">: Simulación tiempo real, análisis predictivo, comunicación integrada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Modalidades operacionales</w:t>
      </w:r>
      <w:r>
        <w:t xml:space="preserve">: Preventivo, alerta, emergencia</w:t>
      </w:r>
    </w:p>
    <w:bookmarkEnd w:id="18"/>
    <w:bookmarkStart w:id="19" w:name="ventajas-competitivas"/>
    <w:p>
      <w:pPr>
        <w:pStyle w:val="Heading4"/>
      </w:pPr>
      <w:r>
        <w:t xml:space="preserve">2.2 Ventajas Competitivas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Innovación tecnológica única</w:t>
      </w:r>
      <w:r>
        <w:t xml:space="preserve">: Simulación híbrida ABM-DES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Accesibilidad económica</w:t>
      </w:r>
      <w:r>
        <w:t xml:space="preserve">: Modelo open source vs $25K-200K USD anuales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Contextualización chilena</w:t>
      </w:r>
      <w:r>
        <w:t xml:space="preserve">: Optimización para amenazas nacionales específicas</w:t>
      </w:r>
    </w:p>
    <w:bookmarkEnd w:id="19"/>
    <w:bookmarkStart w:id="20" w:name="estrategia-de-masificación"/>
    <w:p>
      <w:pPr>
        <w:pStyle w:val="Heading4"/>
      </w:pPr>
      <w:r>
        <w:t xml:space="preserve">2.3 Estrategia de Masificación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Etapa 1</w:t>
      </w:r>
      <w:r>
        <w:t xml:space="preserve">: Consolidación y estabilización (TRL 6→8)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Etapa 2</w:t>
      </w:r>
      <w:r>
        <w:t xml:space="preserve">: Adopción institucional nacional (50% municipios alto riesgo)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Etapa 3</w:t>
      </w:r>
      <w:r>
        <w:t xml:space="preserve">: Internacionalización regional (3 países andinos)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Etapa 4</w:t>
      </w:r>
      <w:r>
        <w:t xml:space="preserve">: Sostenibilidad y evolución tecnológica</w:t>
      </w:r>
    </w:p>
    <w:bookmarkEnd w:id="20"/>
    <w:bookmarkStart w:id="21" w:name="análisis-de-mercado"/>
    <w:p>
      <w:pPr>
        <w:pStyle w:val="Heading4"/>
      </w:pPr>
      <w:r>
        <w:t xml:space="preserve">2.4 Análisis de Mercado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Mercado primario</w:t>
      </w:r>
      <w:r>
        <w:t xml:space="preserve">: 346 municipalidades + 16 GORE + servicios de salud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Mercado regional</w:t>
      </w:r>
      <w:r>
        <w:t xml:space="preserve">: 12 países andinos + 200 ciudades costeras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ROI proyectado</w:t>
      </w:r>
      <w:r>
        <w:t xml:space="preserve">: 4:1 en 5 años, recuperación en 2.7 años</w:t>
      </w:r>
    </w:p>
    <w:bookmarkEnd w:id="21"/>
    <w:bookmarkStart w:id="22" w:name="modelo-de-negocio"/>
    <w:p>
      <w:pPr>
        <w:pStyle w:val="Heading4"/>
      </w:pPr>
      <w:r>
        <w:t xml:space="preserve">2.5 Modelo de Negocio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Estrategia híbrida</w:t>
      </w:r>
      <w:r>
        <w:t xml:space="preserve">: Open source + servicios de valor agregado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Ecosistema colaborativo</w:t>
      </w:r>
      <w:r>
        <w:t xml:space="preserve">: SENAPRED, municipios, universidades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Sostenibilidad</w:t>
      </w:r>
      <w:r>
        <w:t xml:space="preserve">: Diversificación de fuentes de financiamiento</w:t>
      </w:r>
    </w:p>
    <w:bookmarkEnd w:id="22"/>
    <w:bookmarkEnd w:id="23"/>
    <w:bookmarkStart w:id="27" w:name="capacidades-científicas-y-tecnológicas"/>
    <w:p>
      <w:pPr>
        <w:pStyle w:val="Heading3"/>
      </w:pPr>
      <w:r>
        <w:rPr>
          <w:b/>
          <w:bCs/>
        </w:rPr>
        <w:t xml:space="preserve">3. Capacidades Científicas y Tecnológicas</w:t>
      </w:r>
    </w:p>
    <w:bookmarkStart w:id="24" w:name="equipo-multidisciplinario"/>
    <w:p>
      <w:pPr>
        <w:pStyle w:val="Heading4"/>
      </w:pPr>
      <w:r>
        <w:t xml:space="preserve">3.1 Equipo Multidisciplinario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8 investigadores especializados</w:t>
      </w:r>
      <w:r>
        <w:t xml:space="preserve"> </w:t>
      </w:r>
      <w:r>
        <w:t xml:space="preserve">en simulación, GIS, UX, comportamiento humano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Personal de entidades asociadas</w:t>
      </w:r>
      <w:r>
        <w:t xml:space="preserve"> </w:t>
      </w:r>
      <w:r>
        <w:t xml:space="preserve">(SENAPRED, municipalidades, universidades)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Distribución por género</w:t>
      </w:r>
      <w:r>
        <w:t xml:space="preserve">: 50% mujeres en liderazgo científico</w:t>
      </w:r>
    </w:p>
    <w:bookmarkEnd w:id="24"/>
    <w:bookmarkStart w:id="25" w:name="formación-de-capital-humano"/>
    <w:p>
      <w:pPr>
        <w:pStyle w:val="Heading4"/>
      </w:pPr>
      <w:r>
        <w:t xml:space="preserve">3.2 Formación de Capital Humano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3 tesis de postgrado</w:t>
      </w:r>
      <w:r>
        <w:t xml:space="preserve"> </w:t>
      </w:r>
      <w:r>
        <w:t xml:space="preserve">(1 doctoral + 2 magíster)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Capacitación especializada</w:t>
      </w:r>
      <w:r>
        <w:t xml:space="preserve">: 50+ funcionarios públicos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Transferencia de conocimiento</w:t>
      </w:r>
      <w:r>
        <w:t xml:space="preserve">: 500+ usuarios finales</w:t>
      </w:r>
    </w:p>
    <w:bookmarkEnd w:id="25"/>
    <w:bookmarkStart w:id="26" w:name="infraestructura-y-recursos"/>
    <w:p>
      <w:pPr>
        <w:pStyle w:val="Heading4"/>
      </w:pPr>
      <w:r>
        <w:t xml:space="preserve">3.3 Infraestructura y Recursos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Laboratorio de Sistemas Geoespaciales</w:t>
      </w:r>
      <w:r>
        <w:t xml:space="preserve">: 15 estaciones especializadas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Centro de Datos</w:t>
      </w:r>
      <w:r>
        <w:t xml:space="preserve">: 500 TB almacenamiento, conectividad 1 Gbps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Presupuesto total</w:t>
      </w:r>
      <w:r>
        <w:t xml:space="preserve">: $305M (24 meses)</w:t>
      </w:r>
    </w:p>
    <w:bookmarkEnd w:id="26"/>
    <w:bookmarkEnd w:id="27"/>
    <w:bookmarkEnd w:id="28"/>
    <w:bookmarkStart w:id="32" w:name="innovaciones-científicas-clave"/>
    <w:p>
      <w:pPr>
        <w:pStyle w:val="Heading2"/>
      </w:pPr>
      <w:r>
        <w:t xml:space="preserve">🔬 Innovaciones Científicas Clave</w:t>
      </w:r>
    </w:p>
    <w:bookmarkStart w:id="29" w:name="simulación-híbrida-abm-des"/>
    <w:p>
      <w:pPr>
        <w:pStyle w:val="Heading3"/>
      </w:pPr>
      <w:r>
        <w:rPr>
          <w:b/>
          <w:bCs/>
        </w:rPr>
        <w:t xml:space="preserve">1. Simulación Híbrida ABM-DES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Agentes Basados en Modelos (ABM)</w:t>
      </w:r>
      <w:r>
        <w:t xml:space="preserve">: Comportamiento humano heterogéneo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Simulación de Eventos Discretos (DES)</w:t>
      </w:r>
      <w:r>
        <w:t xml:space="preserve">: Restricciones operacionales del sistema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Integración única</w:t>
      </w:r>
      <w:r>
        <w:t xml:space="preserve">: Primera implementación nacional de enfoque híbrido</w:t>
      </w:r>
    </w:p>
    <w:bookmarkEnd w:id="29"/>
    <w:bookmarkStart w:id="30" w:name="análisis-predictivo-con-ia"/>
    <w:p>
      <w:pPr>
        <w:pStyle w:val="Heading3"/>
      </w:pPr>
      <w:r>
        <w:rPr>
          <w:b/>
          <w:bCs/>
        </w:rPr>
        <w:t xml:space="preserve">2. Análisis Predictivo con IA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Machine Learning aplicado</w:t>
      </w:r>
      <w:r>
        <w:t xml:space="preserve">: Basado en investigación de Chang et al. (2024) sobre ML y NLP en triaje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Procesamiento de lenguaje natural</w:t>
      </w:r>
      <w:r>
        <w:t xml:space="preserve">: Análisis automatizado de datos de emergencia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Predicción de escenarios</w:t>
      </w:r>
      <w:r>
        <w:t xml:space="preserve">: Algoritmos de IA para evaluación de patrones de riesgo</w:t>
      </w:r>
    </w:p>
    <w:bookmarkEnd w:id="30"/>
    <w:bookmarkStart w:id="31" w:name="interfaces-adaptativas"/>
    <w:p>
      <w:pPr>
        <w:pStyle w:val="Heading3"/>
      </w:pPr>
      <w:r>
        <w:rPr>
          <w:b/>
          <w:bCs/>
        </w:rPr>
        <w:t xml:space="preserve">3. Interfaces Adaptativas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Diseño centrado en usuario</w:t>
      </w:r>
      <w:r>
        <w:t xml:space="preserve">: Adaptación automática según perfil de usuario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Estándares internacionales</w:t>
      </w:r>
      <w:r>
        <w:t xml:space="preserve">: Cumplimiento ISO 22324 para simbología de emergencias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Experiencia contextual</w:t>
      </w:r>
      <w:r>
        <w:t xml:space="preserve">: Interfaces optimizadas para situaciones de estrés</w:t>
      </w:r>
    </w:p>
    <w:bookmarkEnd w:id="31"/>
    <w:bookmarkEnd w:id="32"/>
    <w:bookmarkStart w:id="33" w:name="métricas-de-validación"/>
    <w:p>
      <w:pPr>
        <w:pStyle w:val="Heading2"/>
      </w:pPr>
      <w:r>
        <w:t xml:space="preserve">📊 Métricas de Validación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0"/>
        <w:gridCol w:w="1560"/>
        <w:gridCol w:w="1680"/>
        <w:gridCol w:w="28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Dimensión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Objetivo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 de Medición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Precisión Técnica</w:t>
            </w:r>
          </w:p>
        </w:tc>
        <w:tc>
          <w:tcPr/>
          <w:p>
            <w:pPr>
              <w:pStyle w:val="Compact"/>
            </w:pPr>
            <w:r>
              <w:t xml:space="preserve">Error predictivo</w:t>
            </w:r>
          </w:p>
        </w:tc>
        <w:tc>
          <w:tcPr/>
          <w:p>
            <w:pPr>
              <w:pStyle w:val="Compact"/>
            </w:pPr>
            <w:r>
              <w:t xml:space="preserve">&lt;15% vs datos reales</w:t>
            </w:r>
          </w:p>
        </w:tc>
        <w:tc>
          <w:tcPr/>
          <w:p>
            <w:pPr>
              <w:pStyle w:val="Compact"/>
            </w:pPr>
            <w:r>
              <w:t xml:space="preserve">Validación con simulacros históricos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Eficiencia Computacional</w:t>
            </w:r>
          </w:p>
        </w:tc>
        <w:tc>
          <w:tcPr/>
          <w:p>
            <w:pPr>
              <w:pStyle w:val="Compact"/>
            </w:pPr>
            <w:r>
              <w:t xml:space="preserve">Tiempo de simulación</w:t>
            </w:r>
          </w:p>
        </w:tc>
        <w:tc>
          <w:tcPr/>
          <w:p>
            <w:pPr>
              <w:pStyle w:val="Compact"/>
            </w:pPr>
            <w:r>
              <w:t xml:space="preserve">&lt;30 min (200K habitantes)</w:t>
            </w:r>
          </w:p>
        </w:tc>
        <w:tc>
          <w:tcPr/>
          <w:p>
            <w:pPr>
              <w:pStyle w:val="Compact"/>
            </w:pPr>
            <w:r>
              <w:t xml:space="preserve">Benchmarks en hardware estándar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Usabilidad</w:t>
            </w:r>
          </w:p>
        </w:tc>
        <w:tc>
          <w:tcPr/>
          <w:p>
            <w:pPr>
              <w:pStyle w:val="Compact"/>
            </w:pPr>
            <w:r>
              <w:t xml:space="preserve">System Usability Scale</w:t>
            </w:r>
          </w:p>
        </w:tc>
        <w:tc>
          <w:tcPr/>
          <w:p>
            <w:pPr>
              <w:pStyle w:val="Compact"/>
            </w:pPr>
            <w:r>
              <w:t xml:space="preserve">&gt;80 puntos</w:t>
            </w:r>
          </w:p>
        </w:tc>
        <w:tc>
          <w:tcPr/>
          <w:p>
            <w:pPr>
              <w:pStyle w:val="Compact"/>
            </w:pPr>
            <w:r>
              <w:t xml:space="preserve">Estudios con usuarios finales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Escalabilidad</w:t>
            </w:r>
          </w:p>
        </w:tc>
        <w:tc>
          <w:tcPr/>
          <w:p>
            <w:pPr>
              <w:pStyle w:val="Compact"/>
            </w:pPr>
            <w:r>
              <w:t xml:space="preserve">Agentes simultáneos</w:t>
            </w:r>
          </w:p>
        </w:tc>
        <w:tc>
          <w:tcPr/>
          <w:p>
            <w:pPr>
              <w:pStyle w:val="Compact"/>
            </w:pPr>
            <w:r>
              <w:t xml:space="preserve">&gt;1M agentes</w:t>
            </w:r>
          </w:p>
        </w:tc>
        <w:tc>
          <w:tcPr/>
          <w:p>
            <w:pPr>
              <w:pStyle w:val="Compact"/>
            </w:pPr>
            <w:r>
              <w:t xml:space="preserve">Pruebas de carga distribuida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Adopción</w:t>
            </w:r>
          </w:p>
        </w:tc>
        <w:tc>
          <w:tcPr/>
          <w:p>
            <w:pPr>
              <w:pStyle w:val="Compact"/>
            </w:pPr>
            <w:r>
              <w:t xml:space="preserve">Implementaciones exitosas</w:t>
            </w:r>
          </w:p>
        </w:tc>
        <w:tc>
          <w:tcPr/>
          <w:p>
            <w:pPr>
              <w:pStyle w:val="Compact"/>
            </w:pPr>
            <w:r>
              <w:t xml:space="preserve">3+ instituciones públicas</w:t>
            </w:r>
          </w:p>
        </w:tc>
        <w:tc>
          <w:tcPr/>
          <w:p>
            <w:pPr>
              <w:pStyle w:val="Compact"/>
            </w:pPr>
            <w:r>
              <w:t xml:space="preserve">Seguimiento post-transferencia</w:t>
            </w:r>
          </w:p>
        </w:tc>
      </w:tr>
    </w:tbl>
    <w:bookmarkEnd w:id="33"/>
    <w:bookmarkStart w:id="37" w:name="impacto-esperado"/>
    <w:p>
      <w:pPr>
        <w:pStyle w:val="Heading2"/>
      </w:pPr>
      <w:r>
        <w:t xml:space="preserve">🌐 Impacto Esperado</w:t>
      </w:r>
    </w:p>
    <w:bookmarkStart w:id="34" w:name="impacto-científico-tecnológico"/>
    <w:p>
      <w:pPr>
        <w:pStyle w:val="Heading3"/>
      </w:pPr>
      <w:r>
        <w:rPr>
          <w:b/>
          <w:bCs/>
        </w:rPr>
        <w:t xml:space="preserve">Impacto Científico-Tecnológico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Posicionamiento internacional</w:t>
      </w:r>
      <w:r>
        <w:t xml:space="preserve">: Chile como líder regional en gestión de riesgos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Reducción de brechas</w:t>
      </w:r>
      <w:r>
        <w:t xml:space="preserve">: 5-7 años → 1-2 años vs centros internacionales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Capacidades exportables</w:t>
      </w:r>
      <w:r>
        <w:t xml:space="preserve">: Modelo replicable para región andina</w:t>
      </w:r>
    </w:p>
    <w:bookmarkEnd w:id="34"/>
    <w:bookmarkStart w:id="35" w:name="impacto-económico-social"/>
    <w:p>
      <w:pPr>
        <w:pStyle w:val="Heading3"/>
      </w:pPr>
      <w:r>
        <w:rPr>
          <w:b/>
          <w:bCs/>
        </w:rPr>
        <w:t xml:space="preserve">Impacto Económico-Social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Ahorro directo</w:t>
      </w:r>
      <w:r>
        <w:t xml:space="preserve">: $15-25M anuales en eficiencia operacional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Prevención de pérdidas</w:t>
      </w:r>
      <w:r>
        <w:t xml:space="preserve">: $100-500M por evento mayor evitado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Democratización de acceso</w:t>
      </w:r>
      <w:r>
        <w:t xml:space="preserve">: 346 municipios con herramientas avanzadas</w:t>
      </w:r>
    </w:p>
    <w:bookmarkEnd w:id="35"/>
    <w:bookmarkStart w:id="36" w:name="impacto-en-formación-de-capital-humano"/>
    <w:p>
      <w:pPr>
        <w:pStyle w:val="Heading3"/>
      </w:pPr>
      <w:r>
        <w:rPr>
          <w:b/>
          <w:bCs/>
        </w:rPr>
        <w:t xml:space="preserve">Impacto en Formación de Capital Humano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Centro de excelencia</w:t>
      </w:r>
      <w:r>
        <w:t xml:space="preserve">: Laboratorio Nacional de Simulación de Evacuaciones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Red nacional</w:t>
      </w:r>
      <w:r>
        <w:t xml:space="preserve">: Articulación permanente universidad-gobierno-municipios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Especialistas formados</w:t>
      </w:r>
      <w:r>
        <w:t xml:space="preserve">: 20+ profesionales en simulación de evacuaciones</w:t>
      </w:r>
    </w:p>
    <w:bookmarkEnd w:id="36"/>
    <w:bookmarkEnd w:id="37"/>
    <w:bookmarkStart w:id="38" w:name="referencias-clave-integradas"/>
    <w:p>
      <w:pPr>
        <w:pStyle w:val="Heading2"/>
      </w:pPr>
      <w:r>
        <w:t xml:space="preserve">📋 Referencias Clave Integradas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Chang, Y.-H. et al. (2024)</w:t>
      </w:r>
      <w:r>
        <w:t xml:space="preserve">: ML y NLP en triaje para predicción clínica (BMC Emergency Medicine)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FEMA HAZUS</w:t>
      </w:r>
      <w:r>
        <w:t xml:space="preserve">: Metodología estándar estadounidense para estimación de pérdidas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InaSAFE</w:t>
      </w:r>
      <w:r>
        <w:t xml:space="preserve">: Plataforma open source para evaluación de riesgos (Indonesia)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UNDRR</w:t>
      </w:r>
      <w:r>
        <w:t xml:space="preserve">: Marcos internacionales de reducción de riesgo de desastres</w:t>
      </w:r>
    </w:p>
    <w:bookmarkEnd w:id="38"/>
    <w:bookmarkStart w:id="39" w:name="próximos-pasos"/>
    <w:p>
      <w:pPr>
        <w:pStyle w:val="Heading2"/>
      </w:pPr>
      <w:r>
        <w:t xml:space="preserve">🚀 Próximos Pasos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Aprobación del proyecto</w:t>
      </w:r>
      <w:r>
        <w:t xml:space="preserve"> </w:t>
      </w:r>
      <w:r>
        <w:t xml:space="preserve">y asignación de recursos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Conformación del equipo</w:t>
      </w:r>
      <w:r>
        <w:t xml:space="preserve"> </w:t>
      </w:r>
      <w:r>
        <w:t xml:space="preserve">multidisciplinario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Desarrollo del prototipo</w:t>
      </w:r>
      <w:r>
        <w:t xml:space="preserve"> </w:t>
      </w:r>
      <w:r>
        <w:t xml:space="preserve">(TRL 3→6)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Validación experimental</w:t>
      </w:r>
      <w:r>
        <w:t xml:space="preserve"> </w:t>
      </w:r>
      <w:r>
        <w:t xml:space="preserve">en casos de estudio chilenos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Transferencia tecnológica</w:t>
      </w:r>
      <w:r>
        <w:t xml:space="preserve"> </w:t>
      </w:r>
      <w:r>
        <w:t xml:space="preserve">a instituciones públicas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base</w:t>
      </w:r>
      <w:r>
        <w:t xml:space="preserve">:</w:t>
      </w:r>
      <w:r>
        <w:t xml:space="preserve"> </w:t>
      </w:r>
      <w:r>
        <w:rPr>
          <w:rStyle w:val="VerbatimChar"/>
        </w:rPr>
        <w:t xml:space="preserve">formulario2.md</w:t>
      </w:r>
      <w:r>
        <w:t xml:space="preserve"> </w:t>
      </w:r>
      <w:r>
        <w:t xml:space="preserve">(114KB, 1,515 líneas)</w:t>
      </w:r>
      <w:r>
        <w:br/>
      </w:r>
      <w:r>
        <w:rPr>
          <w:b/>
          <w:bCs/>
        </w:rPr>
        <w:t xml:space="preserve">Última actualización</w:t>
      </w:r>
      <w:r>
        <w:t xml:space="preserve">: Diciembre 2024</w:t>
      </w:r>
      <w:r>
        <w:br/>
      </w:r>
      <w:r>
        <w:rPr>
          <w:b/>
          <w:bCs/>
        </w:rPr>
        <w:t xml:space="preserve">Estado</w:t>
      </w:r>
      <w:r>
        <w:t xml:space="preserve">: Propuesta técnica completa para evaluación</w:t>
      </w:r>
      <w:r>
        <w:br/>
      </w:r>
      <w:r>
        <w:rPr>
          <w:b/>
          <w:bCs/>
        </w:rPr>
        <w:t xml:space="preserve">Contacto</w:t>
      </w:r>
      <w:r>
        <w:t xml:space="preserve">: Pablo Antonio Jordán González - Director I+D HealthPixel Spa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2025-07-05T02:47:37Z</dcterms:created>
  <dcterms:modified xsi:type="dcterms:W3CDTF">2025-07-05T02:47:37Z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