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51474e180addae3e19c254f6dc5d44a013da44f"/>
    <w:p>
      <w:pPr>
        <w:pStyle w:val="Heading1"/>
      </w:pPr>
      <w:r>
        <w:t xml:space="preserve">Documento Técnico: Metamodelo Cartográfico Unificado (MCU)</w:t>
      </w:r>
    </w:p>
    <w:bookmarkStart w:id="10" w:name="Xc2f46019435c3d56b1102a7f65b4506da4484e0"/>
    <w:p>
      <w:pPr>
        <w:pStyle w:val="Heading2"/>
      </w:pPr>
      <w:r>
        <w:t xml:space="preserve">1. El Problema: La Heterogeneidad de los Datos Geoespaciales</w:t>
      </w:r>
    </w:p>
    <w:p>
      <w:pPr>
        <w:pStyle w:val="FirstParagraph"/>
      </w:pPr>
      <w:r>
        <w:t xml:space="preserve">Uno de los mayores obstáculos para una gestión de desastres eficaz en Chile es la</w:t>
      </w:r>
      <w:r>
        <w:t xml:space="preserve"> </w:t>
      </w:r>
      <w:r>
        <w:rPr>
          <w:b/>
          <w:bCs/>
        </w:rPr>
        <w:t xml:space="preserve">fragmentación de la información</w:t>
      </w:r>
      <w:r>
        <w:t xml:space="preserve">. Diferentes instituciones (SHOA, SERNAGEOMIN, INE, municipalidades) producen y gestionan datos geoespaciales cruciales, pero lo hacen utilizando formatos, esquemas y semánticas dispares. Esta heterogeneidad, descrita por Bizid et al. (2014) como sintáctica, esquemática y semántica, impide la integración automática y confiable de la información, forzando a realizar costosos y lentos procesos manuales de unificación.</w:t>
      </w:r>
    </w:p>
    <w:bookmarkStart w:id="9" w:name="dimensiones-de-la-heterogeneidad"/>
    <w:p>
      <w:pPr>
        <w:pStyle w:val="Heading3"/>
      </w:pPr>
      <w:r>
        <w:t xml:space="preserve">1.1 Dimensiones de la Heterogeneidad</w:t>
      </w:r>
    </w:p>
    <w:p>
      <w:pPr>
        <w:pStyle w:val="FirstParagraph"/>
      </w:pPr>
      <w:r>
        <w:rPr>
          <w:b/>
          <w:bCs/>
        </w:rPr>
        <w:t xml:space="preserve">Tabla 1: Tipos de Heterogeneidad en Datos Geoespaciales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771"/>
        <w:gridCol w:w="2292"/>
        <w:gridCol w:w="281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 Práctico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en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Sintáctica</w:t>
            </w:r>
          </w:p>
        </w:tc>
        <w:tc>
          <w:tcPr/>
          <w:p>
            <w:pPr>
              <w:pStyle w:val="Compact"/>
            </w:pPr>
            <w:r>
              <w:t xml:space="preserve">Diferentes formatos de archivo</w:t>
            </w:r>
          </w:p>
        </w:tc>
        <w:tc>
          <w:tcPr/>
          <w:p>
            <w:pPr>
              <w:pStyle w:val="Compact"/>
            </w:pPr>
            <w:r>
              <w:t xml:space="preserve">SHOA: Shapefile, INE: CSV, SERNAGEOMIN: KML</w:t>
            </w:r>
          </w:p>
        </w:tc>
        <w:tc>
          <w:tcPr/>
          <w:p>
            <w:pPr>
              <w:pStyle w:val="Compact"/>
            </w:pPr>
            <w:r>
              <w:t xml:space="preserve">Requiere múltiples parsers y conversores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Esquemática</w:t>
            </w:r>
          </w:p>
        </w:tc>
        <w:tc>
          <w:tcPr/>
          <w:p>
            <w:pPr>
              <w:pStyle w:val="Compact"/>
            </w:pPr>
            <w:r>
              <w:t xml:space="preserve">Diferentes estructuras de datos</w:t>
            </w:r>
          </w:p>
        </w:tc>
        <w:tc>
          <w:tcPr/>
          <w:p>
            <w:pPr>
              <w:pStyle w:val="Compact"/>
            </w:pPr>
            <w:r>
              <w:t xml:space="preserve">Campo</w:t>
            </w:r>
            <w:r>
              <w:t xml:space="preserve"> </w:t>
            </w:r>
            <w:r>
              <w:t xml:space="preserve">“población”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“hab_total”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“num_habitantes”</w:t>
            </w:r>
          </w:p>
        </w:tc>
        <w:tc>
          <w:tcPr/>
          <w:p>
            <w:pPr>
              <w:pStyle w:val="Compact"/>
            </w:pPr>
            <w:r>
              <w:t xml:space="preserve">Mapeo manual de campos requerido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Semántica</w:t>
            </w:r>
          </w:p>
        </w:tc>
        <w:tc>
          <w:tcPr/>
          <w:p>
            <w:pPr>
              <w:pStyle w:val="Compact"/>
            </w:pPr>
            <w:r>
              <w:t xml:space="preserve">Diferentes significados para conceptos similares</w:t>
            </w:r>
          </w:p>
        </w:tc>
        <w:tc>
          <w:tcPr/>
          <w:p>
            <w:pPr>
              <w:pStyle w:val="Compact"/>
            </w:pPr>
            <w:r>
              <w:t xml:space="preserve">“Zona de riesgo alto”</w:t>
            </w:r>
            <w:r>
              <w:t xml:space="preserve"> </w:t>
            </w:r>
            <w:r>
              <w:t xml:space="preserve">vs</w:t>
            </w:r>
            <w:r>
              <w:t xml:space="preserve"> </w:t>
            </w:r>
            <w:r>
              <w:t xml:space="preserve">“Amenaza nivel 3”</w:t>
            </w:r>
          </w:p>
        </w:tc>
        <w:tc>
          <w:tcPr/>
          <w:p>
            <w:pPr>
              <w:pStyle w:val="Compact"/>
            </w:pPr>
            <w:r>
              <w:t xml:space="preserve">Interpretación ambigua, errores de análisis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Temporal</w:t>
            </w:r>
          </w:p>
        </w:tc>
        <w:tc>
          <w:tcPr/>
          <w:p>
            <w:pPr>
              <w:pStyle w:val="Compact"/>
            </w:pPr>
            <w:r>
              <w:t xml:space="preserve">Diferentes frecuencias de actualización</w:t>
            </w:r>
          </w:p>
        </w:tc>
        <w:tc>
          <w:tcPr/>
          <w:p>
            <w:pPr>
              <w:pStyle w:val="Compact"/>
            </w:pPr>
            <w:r>
              <w:t xml:space="preserve">Censo cada 10 años vs datos sísmicos en tiempo real</w:t>
            </w:r>
          </w:p>
        </w:tc>
        <w:tc>
          <w:tcPr/>
          <w:p>
            <w:pPr>
              <w:pStyle w:val="Compact"/>
            </w:pPr>
            <w:r>
              <w:t xml:space="preserve">Inconsistencias temporales en análisis</w:t>
            </w:r>
          </w:p>
        </w:tc>
      </w:tr>
    </w:tbl>
    <w:p>
      <w:pPr>
        <w:pStyle w:val="BodyText"/>
      </w:pPr>
      <w:r>
        <w:t xml:space="preserve">El resultado es la creación de</w:t>
      </w:r>
      <w:r>
        <w:t xml:space="preserve"> </w:t>
      </w:r>
      <w:r>
        <w:t xml:space="preserve">“islas tecnológicas”</w:t>
      </w:r>
      <w:r>
        <w:t xml:space="preserve"> </w:t>
      </w:r>
      <w:r>
        <w:t xml:space="preserve">que no pueden comunicarse entre sí, una barrera crítica para obtener una visión holística y en tiempo real del riesgo.</w:t>
      </w:r>
    </w:p>
    <w:bookmarkEnd w:id="9"/>
    <w:bookmarkEnd w:id="10"/>
    <w:bookmarkStart w:id="12" w:name="X50cb229273e8b410dafe2b6a3dabc7e57df659b"/>
    <w:p>
      <w:pPr>
        <w:pStyle w:val="Heading2"/>
      </w:pPr>
      <w:r>
        <w:t xml:space="preserve">2. La Solución: Un</w:t>
      </w:r>
      <w:r>
        <w:t xml:space="preserve"> </w:t>
      </w:r>
      <w:r>
        <w:t xml:space="preserve">“Lenguaje Común”</w:t>
      </w:r>
      <w:r>
        <w:t xml:space="preserve"> </w:t>
      </w:r>
      <w:r>
        <w:t xml:space="preserve">para los Datos de Desastres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Metamodelo Cartográfico Unificado (MCU)</w:t>
      </w:r>
      <w:r>
        <w:t xml:space="preserve"> </w:t>
      </w:r>
      <w:r>
        <w:t xml:space="preserve">es la solución arquitectónica de PIGEM a este problema. Su función principal es actuar como un</w:t>
      </w:r>
      <w:r>
        <w:t xml:space="preserve"> </w:t>
      </w:r>
      <w:r>
        <w:rPr>
          <w:b/>
          <w:bCs/>
        </w:rPr>
        <w:t xml:space="preserve">“lenguaje común”</w:t>
      </w:r>
      <w:r>
        <w:rPr>
          <w:b/>
          <w:bCs/>
        </w:rPr>
        <w:t xml:space="preserve"> </w:t>
      </w:r>
      <w:r>
        <w:rPr>
          <w:b/>
          <w:bCs/>
        </w:rPr>
        <w:t xml:space="preserve">o un estándar de facto</w:t>
      </w:r>
      <w:r>
        <w:t xml:space="preserve"> </w:t>
      </w:r>
      <w:r>
        <w:t xml:space="preserve">para toda la información geoespacial relacionada con la gestión del riesgo de desastres.</w:t>
      </w:r>
    </w:p>
    <w:bookmarkStart w:id="11" w:name="arquitectura-conceptual-del-mcu"/>
    <w:p>
      <w:pPr>
        <w:pStyle w:val="Heading3"/>
      </w:pPr>
      <w:r>
        <w:t xml:space="preserve">2.1 Arquitectura Conceptual del MCU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FUENTES DE DATOS                         │</w:t>
      </w:r>
      <w:r>
        <w:br/>
      </w:r>
      <w:r>
        <w:rPr>
          <w:rStyle w:val="VerbatimChar"/>
        </w:rPr>
        <w:t xml:space="preserve">├─────────────┬─────────────┬─────────────┬─────────────────┤</w:t>
      </w:r>
      <w:r>
        <w:br/>
      </w:r>
      <w:r>
        <w:rPr>
          <w:rStyle w:val="VerbatimChar"/>
        </w:rPr>
        <w:t xml:space="preserve">│    SHOA     │ SERNAGEOMIN │     INE     │ MUNICIPALIDADES │</w:t>
      </w:r>
      <w:r>
        <w:br/>
      </w:r>
      <w:r>
        <w:rPr>
          <w:rStyle w:val="VerbatimChar"/>
        </w:rPr>
        <w:t xml:space="preserve">│ (Tsunamis)  │  (Sismos)   │  (Censos)   │   (Locales)     │</w:t>
      </w:r>
      <w:r>
        <w:br/>
      </w:r>
      <w:r>
        <w:rPr>
          <w:rStyle w:val="VerbatimChar"/>
        </w:rPr>
        <w:t xml:space="preserve">└─────────────┴─────────────┴─────────────┴─────────────────┘</w:t>
      </w:r>
      <w:r>
        <w:br/>
      </w:r>
      <w:r>
        <w:rPr>
          <w:rStyle w:val="VerbatimChar"/>
        </w:rPr>
        <w:t xml:space="preserve">              │             │             │             │</w:t>
      </w:r>
      <w:r>
        <w:br/>
      </w:r>
      <w:r>
        <w:rPr>
          <w:rStyle w:val="VerbatimChar"/>
        </w:rPr>
        <w:t xml:space="preserve">              ▼             ▼             ▼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CAPA DE ARMONIZACIÓN                        │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┌─────────────────────┐ │</w:t>
      </w:r>
      <w:r>
        <w:br/>
      </w:r>
      <w:r>
        <w:rPr>
          <w:rStyle w:val="VerbatimChar"/>
        </w:rPr>
        <w:t xml:space="preserve">│  │ Validación  │  │ Normalización│  │ Enriquecimiento     │ │</w:t>
      </w:r>
      <w:r>
        <w:br/>
      </w:r>
      <w:r>
        <w:rPr>
          <w:rStyle w:val="VerbatimChar"/>
        </w:rPr>
        <w:t xml:space="preserve">│  │ Semántica   │  │ Sintáctica   │  │ de Metadatos        │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MCU - NÚCLEO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Base de Datos   │  │      Servicios Web OGC         │  │</w:t>
      </w:r>
      <w:r>
        <w:br/>
      </w:r>
      <w:r>
        <w:rPr>
          <w:rStyle w:val="VerbatimChar"/>
        </w:rPr>
        <w:t xml:space="preserve">│  │ Geoespacial     │  │  WMS │ WFS │ WCS │ CSW │ WPS    │  │</w:t>
      </w:r>
      <w:r>
        <w:br/>
      </w:r>
      <w:r>
        <w:rPr>
          <w:rStyle w:val="VerbatimChar"/>
        </w:rPr>
        <w:t xml:space="preserve">│  │ (PostGIS)       │  │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APLICACIONES CLIENTE                      │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┌─────────────────────┐ │</w:t>
      </w:r>
      <w:r>
        <w:br/>
      </w:r>
      <w:r>
        <w:rPr>
          <w:rStyle w:val="VerbatimChar"/>
        </w:rPr>
        <w:t xml:space="preserve">│  │   PIGEM     │  │    QGIS     │  │  Visores Web        │ │</w:t>
      </w:r>
      <w:r>
        <w:br/>
      </w:r>
      <w:r>
        <w:rPr>
          <w:rStyle w:val="VerbatimChar"/>
        </w:rPr>
        <w:t xml:space="preserve">│  │ Simulador   │  │             │  │  Municipales        │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Arquitectura conceptual del Metamodelo Cartográfico Unificado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Definición</w:t>
      </w:r>
      <w:r>
        <w:t xml:space="preserve">: El MCU no es un formato de archivo, sino un</w:t>
      </w:r>
      <w:r>
        <w:t xml:space="preserve"> </w:t>
      </w:r>
      <w:r>
        <w:rPr>
          <w:b/>
          <w:bCs/>
        </w:rPr>
        <w:t xml:space="preserve">marco conceptual y un conjunto de reglas formales</w:t>
      </w:r>
      <w:r>
        <w:t xml:space="preserve"> </w:t>
      </w:r>
      <w:r>
        <w:t xml:space="preserve">que definen cómo deben estructurarse los datos y, más importante aún, sus metadatos (los datos sobre los datos).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Objetivo</w:t>
      </w:r>
      <w:r>
        <w:t xml:space="preserve">: Garantizar que cualquier capa de información, sin importar su fuente, pueda ser integrada, comprendida y utilizada por la plataforma PIGEM de manera automática y sin ambigüedades.</w:t>
      </w:r>
    </w:p>
    <w:bookmarkEnd w:id="11"/>
    <w:bookmarkEnd w:id="12"/>
    <w:bookmarkStart w:id="15" w:name="X1e609981600ab00f23ecd02404f86725438a116"/>
    <w:p>
      <w:pPr>
        <w:pStyle w:val="Heading2"/>
      </w:pPr>
      <w:r>
        <w:t xml:space="preserve">3. Fundamentos en Estándares Internacionales</w:t>
      </w:r>
    </w:p>
    <w:p>
      <w:pPr>
        <w:pStyle w:val="FirstParagraph"/>
      </w:pPr>
      <w:r>
        <w:t xml:space="preserve">El MCU no se inventa desde cero. Se construye sobre la base de estándares abiertos e internacionales, lo que garantiza su robustez e interoperabilidad.</w:t>
      </w:r>
    </w:p>
    <w:bookmarkStart w:id="13" w:name="iso-1911519139-el-adn-de-los-metadatos"/>
    <w:p>
      <w:pPr>
        <w:pStyle w:val="Heading3"/>
      </w:pPr>
      <w:r>
        <w:t xml:space="preserve">3.1. ISO 19115/19139: El ADN de los Metadatos</w:t>
      </w:r>
    </w:p>
    <w:p>
      <w:pPr>
        <w:pStyle w:val="FirstParagraph"/>
      </w:pPr>
      <w:r>
        <w:rPr>
          <w:b/>
          <w:bCs/>
        </w:rPr>
        <w:t xml:space="preserve">Tabla 2: Elementos Principales del Perfil ISO 19115 para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3"/>
        <w:gridCol w:w="1458"/>
        <w:gridCol w:w="1771"/>
        <w:gridCol w:w="1771"/>
        <w:gridCol w:w="13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Elemento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Obligatorio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Identificación</w:t>
            </w:r>
          </w:p>
        </w:tc>
        <w:tc>
          <w:tcPr/>
          <w:p>
            <w:pPr>
              <w:pStyle w:val="Compact"/>
            </w:pPr>
            <w:r>
              <w:t xml:space="preserve">Título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Nombre descriptivo del dataset</w:t>
            </w:r>
          </w:p>
        </w:tc>
        <w:tc>
          <w:tcPr/>
          <w:p>
            <w:pPr>
              <w:pStyle w:val="Compact"/>
            </w:pPr>
            <w:r>
              <w:t xml:space="preserve">“Zonas de Inundación por Tsunami - Valparaíso 2024”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Descripción del contenido</w:t>
            </w:r>
          </w:p>
        </w:tc>
        <w:tc>
          <w:tcPr/>
          <w:p>
            <w:pPr>
              <w:pStyle w:val="Compact"/>
            </w:pPr>
            <w:r>
              <w:t xml:space="preserve">“Áreas potencialmente inundables por tsunami…”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Términos de búsqueda</w:t>
            </w:r>
          </w:p>
        </w:tc>
        <w:tc>
          <w:tcPr/>
          <w:p>
            <w:pPr>
              <w:pStyle w:val="Compact"/>
            </w:pPr>
            <w:r>
              <w:t xml:space="preserve">“tsunami, inundación, riesgo, Valparaíso”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</w:t>
            </w:r>
          </w:p>
        </w:tc>
        <w:tc>
          <w:tcPr/>
          <w:p>
            <w:pPr>
              <w:pStyle w:val="Compact"/>
            </w:pPr>
            <w:r>
              <w:t xml:space="preserve">Linaje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Origen y procesamiento</w:t>
            </w:r>
          </w:p>
        </w:tc>
        <w:tc>
          <w:tcPr/>
          <w:p>
            <w:pPr>
              <w:pStyle w:val="Compact"/>
            </w:pPr>
            <w:r>
              <w:t xml:space="preserve">“Modelado COMCOT basado en batimetría SHOA”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Precisión posicional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Error espacial estimado</w:t>
            </w:r>
          </w:p>
        </w:tc>
        <w:tc>
          <w:tcPr/>
          <w:p>
            <w:pPr>
              <w:pStyle w:val="Compact"/>
            </w:pPr>
            <w:r>
              <w:t xml:space="preserve">“±5 metros”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Completitud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Porcentaje de cobertura</w:t>
            </w:r>
          </w:p>
        </w:tc>
        <w:tc>
          <w:tcPr/>
          <w:p>
            <w:pPr>
              <w:pStyle w:val="Compact"/>
            </w:pPr>
            <w:r>
              <w:t xml:space="preserve">“95% del área costera”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Referencia Espacial</w:t>
            </w:r>
          </w:p>
        </w:tc>
        <w:tc>
          <w:tcPr/>
          <w:p>
            <w:pPr>
              <w:pStyle w:val="Compact"/>
            </w:pPr>
            <w:r>
              <w:t xml:space="preserve">SRS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Sistema de coordenadas</w:t>
            </w:r>
          </w:p>
        </w:tc>
        <w:tc>
          <w:tcPr/>
          <w:p>
            <w:pPr>
              <w:pStyle w:val="Compact"/>
            </w:pPr>
            <w:r>
              <w:t xml:space="preserve">“EPSG:4326 (WGS84)”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Extensión geográfica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Límites del área</w:t>
            </w:r>
          </w:p>
        </w:tc>
        <w:tc>
          <w:tcPr/>
          <w:p>
            <w:pPr>
              <w:pStyle w:val="Compact"/>
            </w:pPr>
            <w:r>
              <w:t xml:space="preserve">“Bbox: -71.7,-33.1,-71.5,-33.0”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Temporal</w:t>
            </w:r>
          </w:p>
        </w:tc>
        <w:tc>
          <w:tcPr/>
          <w:p>
            <w:pPr>
              <w:pStyle w:val="Compact"/>
            </w:pPr>
            <w:r>
              <w:t xml:space="preserve">Fecha creación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Cuándo se generó</w:t>
            </w:r>
          </w:p>
        </w:tc>
        <w:tc>
          <w:tcPr/>
          <w:p>
            <w:pPr>
              <w:pStyle w:val="Compact"/>
            </w:pPr>
            <w:r>
              <w:t xml:space="preserve">“2024-03-15”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Validez temporal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  <w:r>
              <w:t xml:space="preserve">Período de vigencia</w:t>
            </w:r>
          </w:p>
        </w:tc>
        <w:tc>
          <w:tcPr/>
          <w:p>
            <w:pPr>
              <w:pStyle w:val="Compact"/>
            </w:pPr>
            <w:r>
              <w:t xml:space="preserve">“2024-2029”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</w:t>
            </w:r>
          </w:p>
        </w:tc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Tipo de archivo</w:t>
            </w:r>
          </w:p>
        </w:tc>
        <w:tc>
          <w:tcPr/>
          <w:p>
            <w:pPr>
              <w:pStyle w:val="Compact"/>
            </w:pPr>
            <w:r>
              <w:t xml:space="preserve">“Shapefile, GeoJSON”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Contacto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Responsable técnico</w:t>
            </w:r>
          </w:p>
        </w:tc>
        <w:tc>
          <w:tcPr/>
          <w:p>
            <w:pPr>
              <w:pStyle w:val="Compact"/>
            </w:pPr>
            <w:r>
              <w:t xml:space="preserve">“juan.perez@shoa.cl”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Estándar</w:t>
      </w:r>
      <w:r>
        <w:t xml:space="preserve">: Es la norma de la Organización Internacional de Normalización (ISO) para los</w:t>
      </w:r>
      <w:r>
        <w:t xml:space="preserve"> </w:t>
      </w:r>
      <w:r>
        <w:rPr>
          <w:b/>
          <w:bCs/>
        </w:rPr>
        <w:t xml:space="preserve">metadatos de información geográfica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Función en el MCU</w:t>
      </w:r>
      <w:r>
        <w:t xml:space="preserve">: El MCU adopta un perfil (un subconjunto específico) de ISO 19115 para definir los campos de metadatos</w:t>
      </w:r>
      <w:r>
        <w:t xml:space="preserve"> </w:t>
      </w:r>
      <w:r>
        <w:rPr>
          <w:b/>
          <w:bCs/>
        </w:rPr>
        <w:t xml:space="preserve">obligatorios</w:t>
      </w:r>
      <w:r>
        <w:t xml:space="preserve"> </w:t>
      </w:r>
      <w:r>
        <w:t xml:space="preserve">para cualquier capa de datos que ingrese a PIGEM.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Beneficio</w:t>
      </w:r>
      <w:r>
        <w:t xml:space="preserve">: Al forzar el cumplimiento de este perfil de metadatos, el sistema puede</w:t>
      </w:r>
      <w:r>
        <w:t xml:space="preserve"> </w:t>
      </w:r>
      <w:r>
        <w:rPr>
          <w:b/>
          <w:bCs/>
        </w:rPr>
        <w:t xml:space="preserve">confiar</w:t>
      </w:r>
      <w:r>
        <w:t xml:space="preserve"> </w:t>
      </w:r>
      <w:r>
        <w:t xml:space="preserve">en la información que procesa y realizar validaciones automáticas. Como lo destaca Voski (2019), la estandarización de metadatos es fundamental para la interoperabilidad.</w:t>
      </w:r>
    </w:p>
    <w:bookmarkEnd w:id="13"/>
    <w:bookmarkStart w:id="14" w:name="X745441c2f523d780267dc9dac7e9bd61907589d"/>
    <w:p>
      <w:pPr>
        <w:pStyle w:val="Heading3"/>
      </w:pPr>
      <w:r>
        <w:t xml:space="preserve">3.2. OGC (Open Geospatial Consortium): El Protocolo de Comunicación</w:t>
      </w:r>
    </w:p>
    <w:p>
      <w:pPr>
        <w:pStyle w:val="FirstParagraph"/>
      </w:pPr>
      <w:r>
        <w:rPr>
          <w:b/>
          <w:bCs/>
        </w:rPr>
        <w:t xml:space="preserve">Tabla 3: Servicios Web OGC Implementados en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146"/>
        <w:gridCol w:w="135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Sigla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 de Uso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Map Service</w:t>
            </w:r>
          </w:p>
        </w:tc>
        <w:tc>
          <w:tcPr/>
          <w:p>
            <w:pPr>
              <w:pStyle w:val="Compact"/>
            </w:pPr>
            <w:r>
              <w:t xml:space="preserve">WMS</w:t>
            </w:r>
          </w:p>
        </w:tc>
        <w:tc>
          <w:tcPr/>
          <w:p>
            <w:pPr>
              <w:pStyle w:val="Compact"/>
            </w:pPr>
            <w:r>
              <w:t xml:space="preserve">Servir mapas como imágenes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Visualización de mapas de riesgo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Feature Service</w:t>
            </w:r>
          </w:p>
        </w:tc>
        <w:tc>
          <w:tcPr/>
          <w:p>
            <w:pPr>
              <w:pStyle w:val="Compact"/>
            </w:pPr>
            <w:r>
              <w:t xml:space="preserve">WFS</w:t>
            </w:r>
          </w:p>
        </w:tc>
        <w:tc>
          <w:tcPr/>
          <w:p>
            <w:pPr>
              <w:pStyle w:val="Compact"/>
            </w:pPr>
            <w:r>
              <w:t xml:space="preserve">Servir datos vectoriales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Descarga de polígonos de amenaza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Coverage Service</w:t>
            </w:r>
          </w:p>
        </w:tc>
        <w:tc>
          <w:tcPr/>
          <w:p>
            <w:pPr>
              <w:pStyle w:val="Compact"/>
            </w:pPr>
            <w:r>
              <w:t xml:space="preserve">WCS</w:t>
            </w:r>
          </w:p>
        </w:tc>
        <w:tc>
          <w:tcPr/>
          <w:p>
            <w:pPr>
              <w:pStyle w:val="Compact"/>
            </w:pPr>
            <w:r>
              <w:t xml:space="preserve">Servir datos de cobertura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Acceso a modelos de elevación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Catalogue Service</w:t>
            </w:r>
          </w:p>
        </w:tc>
        <w:tc>
          <w:tcPr/>
          <w:p>
            <w:pPr>
              <w:pStyle w:val="Compact"/>
            </w:pPr>
            <w:r>
              <w:t xml:space="preserve">CSW</w:t>
            </w:r>
          </w:p>
        </w:tc>
        <w:tc>
          <w:tcPr/>
          <w:p>
            <w:pPr>
              <w:pStyle w:val="Compact"/>
            </w:pPr>
            <w:r>
              <w:t xml:space="preserve">Catálogo de metadatos</w:t>
            </w:r>
          </w:p>
        </w:tc>
        <w:tc>
          <w:tcPr/>
          <w:p>
            <w:pPr>
              <w:pStyle w:val="Compact"/>
            </w:pPr>
            <w:r>
              <w:t xml:space="preserve">Metadatos</w:t>
            </w:r>
          </w:p>
        </w:tc>
        <w:tc>
          <w:tcPr/>
          <w:p>
            <w:pPr>
              <w:pStyle w:val="Compact"/>
            </w:pPr>
            <w:r>
              <w:t xml:space="preserve">Búsqueda de datasets disponibles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Processing Service</w:t>
            </w:r>
          </w:p>
        </w:tc>
        <w:tc>
          <w:tcPr/>
          <w:p>
            <w:pPr>
              <w:pStyle w:val="Compact"/>
            </w:pPr>
            <w:r>
              <w:t xml:space="preserve">WPS</w:t>
            </w:r>
          </w:p>
        </w:tc>
        <w:tc>
          <w:tcPr/>
          <w:p>
            <w:pPr>
              <w:pStyle w:val="Compact"/>
            </w:pPr>
            <w:r>
              <w:t xml:space="preserve">Procesamiento remoto</w:t>
            </w:r>
          </w:p>
        </w:tc>
        <w:tc>
          <w:tcPr/>
          <w:p>
            <w:pPr>
              <w:pStyle w:val="Compact"/>
            </w:pPr>
            <w:r>
              <w:t xml:space="preserve">Procesos</w:t>
            </w:r>
          </w:p>
        </w:tc>
        <w:tc>
          <w:tcPr/>
          <w:p>
            <w:pPr>
              <w:pStyle w:val="Compact"/>
            </w:pPr>
            <w:r>
              <w:t xml:space="preserve">Análisis espacial automatizado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Estándar</w:t>
      </w:r>
      <w:r>
        <w:t xml:space="preserve">: El OGC define los estándares para los</w:t>
      </w:r>
      <w:r>
        <w:t xml:space="preserve"> </w:t>
      </w:r>
      <w:r>
        <w:rPr>
          <w:b/>
          <w:bCs/>
        </w:rPr>
        <w:t xml:space="preserve">servicios web geoespaciales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Función en el MCU</w:t>
      </w:r>
      <w:r>
        <w:t xml:space="preserve">: Una vez que los datos son ingeridos y validados conforme al perfil ISO, se publican a través de servicios web estándar del OGC.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Beneficio</w:t>
      </w:r>
      <w:r>
        <w:t xml:space="preserve">: Esto desacopla el almacenamiento de los datos de su uso. Cualquier aplicación cliente (un visor web, QGIS, ArcGIS) que</w:t>
      </w:r>
      <w:r>
        <w:t xml:space="preserve"> </w:t>
      </w:r>
      <w:r>
        <w:t xml:space="preserve">“hable”</w:t>
      </w:r>
      <w:r>
        <w:t xml:space="preserve"> </w:t>
      </w:r>
      <w:r>
        <w:t xml:space="preserve">el idioma OGC puede conectarse a PIGEM y consumir sus capas de datos de manera estandarizada.</w:t>
      </w:r>
    </w:p>
    <w:bookmarkEnd w:id="14"/>
    <w:bookmarkEnd w:id="15"/>
    <w:bookmarkStart w:id="18" w:name="flujo-de-trabajo-del-mcu"/>
    <w:p>
      <w:pPr>
        <w:pStyle w:val="Heading2"/>
      </w:pPr>
      <w:r>
        <w:t xml:space="preserve">4. Flujo de Trabajo del MCU</w:t>
      </w:r>
    </w:p>
    <w:bookmarkStart w:id="16" w:name="proceso-de-ingesta-y-armonización"/>
    <w:p>
      <w:pPr>
        <w:pStyle w:val="Heading3"/>
      </w:pPr>
      <w:r>
        <w:t xml:space="preserve">4.1 Proceso de Ingesta y Armonización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INGESTA       │    │   VALIDACIÓN    │    │  NORMALIZACIÓN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Detección     │───▶│ • Esquema       │───▶│ • Proyección    │</w:t>
      </w:r>
      <w:r>
        <w:br/>
      </w:r>
      <w:r>
        <w:rPr>
          <w:rStyle w:val="VerbatimChar"/>
        </w:rPr>
        <w:t xml:space="preserve">│   automática    │    │ • Metadatos     │    │ • Formato       │</w:t>
      </w:r>
      <w:r>
        <w:br/>
      </w:r>
      <w:r>
        <w:rPr>
          <w:rStyle w:val="VerbatimChar"/>
        </w:rPr>
        <w:t xml:space="preserve">│ • Extracción    │    │ • Geometría     │    │ • Codificación  │</w:t>
      </w:r>
      <w:r>
        <w:br/>
      </w:r>
      <w:r>
        <w:rPr>
          <w:rStyle w:val="VerbatimChar"/>
        </w:rPr>
        <w:t xml:space="preserve">│   metadatos     │    │ • Completitud   │    │ • Atributos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  │</w:t>
      </w:r>
      <w:r>
        <w:br/>
      </w:r>
      <w:r>
        <w:rPr>
          <w:rStyle w:val="VerbatimChar"/>
        </w:rPr>
        <w:t xml:space="preserve">         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PUBLICACIÓN    │    │  ALMACENAMIENTO │    │ ENRIQUECIMIENTO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• Servicios WMS │◀───│ • PostGIS       │◀───│ • Índices       │</w:t>
      </w:r>
      <w:r>
        <w:br/>
      </w:r>
      <w:r>
        <w:rPr>
          <w:rStyle w:val="VerbatimChar"/>
        </w:rPr>
        <w:t xml:space="preserve">│ • Servicios WFS │    │ • Índices       │    │   espaciales    │</w:t>
      </w:r>
      <w:r>
        <w:br/>
      </w:r>
      <w:r>
        <w:rPr>
          <w:rStyle w:val="VerbatimChar"/>
        </w:rPr>
        <w:t xml:space="preserve">│ • Catálogo CSW  │    │   espaciales    │    │ • Metadatos     │</w:t>
      </w:r>
      <w:r>
        <w:br/>
      </w:r>
      <w:r>
        <w:rPr>
          <w:rStyle w:val="VerbatimChar"/>
        </w:rPr>
        <w:t xml:space="preserve">│ • APIs REST     │    │ • Backup        │    │   adicionales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2: Flujo de trabajo del proceso de ingesta y armonización de datos</w:t>
      </w:r>
    </w:p>
    <w:bookmarkEnd w:id="16"/>
    <w:bookmarkStart w:id="17" w:name="pasos-detallados-del-proceso"/>
    <w:p>
      <w:pPr>
        <w:pStyle w:val="Heading3"/>
      </w:pPr>
      <w:r>
        <w:t xml:space="preserve">4.2 Pasos Detallados del Proceso</w:t>
      </w:r>
    </w:p>
    <w:p>
      <w:pPr>
        <w:pStyle w:val="FirstParagraph"/>
      </w:pPr>
      <w:r>
        <w:rPr>
          <w:b/>
          <w:bCs/>
        </w:rPr>
        <w:t xml:space="preserve">Tabla 4: Etapas del Proceso de Armonización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4"/>
        <w:gridCol w:w="1923"/>
        <w:gridCol w:w="2036"/>
        <w:gridCol w:w="271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Etapa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Actividades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Ingesta</w:t>
            </w:r>
          </w:p>
        </w:tc>
        <w:tc>
          <w:tcPr/>
          <w:p>
            <w:pPr>
              <w:pStyle w:val="Compact"/>
            </w:pPr>
            <w:r>
              <w:t xml:space="preserve">• Detección automática de archivos</w:t>
            </w:r>
            <w:r>
              <w:t xml:space="preserve">• Identificación de formato</w:t>
            </w:r>
            <w:r>
              <w:t xml:space="preserve">• Extracción de metadatos</w:t>
            </w:r>
          </w:p>
        </w:tc>
        <w:tc>
          <w:tcPr/>
          <w:p>
            <w:pPr>
              <w:pStyle w:val="Compact"/>
            </w:pPr>
            <w:r>
              <w:t xml:space="preserve">GDAL/OGR, Python scripts</w:t>
            </w:r>
          </w:p>
        </w:tc>
        <w:tc>
          <w:tcPr/>
          <w:p>
            <w:pPr>
              <w:pStyle w:val="Compact"/>
            </w:pPr>
            <w:r>
              <w:t xml:space="preserve">• Formato reconocido</w:t>
            </w:r>
            <w:r>
              <w:t xml:space="preserve">• Metadatos extraídos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Validación</w:t>
            </w:r>
          </w:p>
        </w:tc>
        <w:tc>
          <w:tcPr/>
          <w:p>
            <w:pPr>
              <w:pStyle w:val="Compact"/>
            </w:pPr>
            <w:r>
              <w:t xml:space="preserve">• Verificación de esquema</w:t>
            </w:r>
            <w:r>
              <w:t xml:space="preserve">• Validación geométrica</w:t>
            </w:r>
            <w:r>
              <w:t xml:space="preserve">• Completitud de atributos</w:t>
            </w:r>
          </w:p>
        </w:tc>
        <w:tc>
          <w:tcPr/>
          <w:p>
            <w:pPr>
              <w:pStyle w:val="Compact"/>
            </w:pPr>
            <w:r>
              <w:t xml:space="preserve">PostGIS, Shapely</w:t>
            </w:r>
          </w:p>
        </w:tc>
        <w:tc>
          <w:tcPr/>
          <w:p>
            <w:pPr>
              <w:pStyle w:val="Compact"/>
            </w:pPr>
            <w:r>
              <w:t xml:space="preserve">• Geometrías válidas</w:t>
            </w:r>
            <w:r>
              <w:t xml:space="preserve">• Campos obligatorios presentes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Normalización</w:t>
            </w:r>
          </w:p>
        </w:tc>
        <w:tc>
          <w:tcPr/>
          <w:p>
            <w:pPr>
              <w:pStyle w:val="Compact"/>
            </w:pPr>
            <w:r>
              <w:t xml:space="preserve">• Reproyección a WGS84</w:t>
            </w:r>
            <w:r>
              <w:t xml:space="preserve">• Estandarización de atributos</w:t>
            </w:r>
            <w:r>
              <w:t xml:space="preserve">• Codificación UTF-8</w:t>
            </w:r>
          </w:p>
        </w:tc>
        <w:tc>
          <w:tcPr/>
          <w:p>
            <w:pPr>
              <w:pStyle w:val="Compact"/>
            </w:pPr>
            <w:r>
              <w:t xml:space="preserve">PROJ, Pandas</w:t>
            </w:r>
          </w:p>
        </w:tc>
        <w:tc>
          <w:tcPr/>
          <w:p>
            <w:pPr>
              <w:pStyle w:val="Compact"/>
            </w:pPr>
            <w:r>
              <w:t xml:space="preserve">• SRS uniforme</w:t>
            </w:r>
            <w:r>
              <w:t xml:space="preserve">• Atributos normalizados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Enriquecimiento</w:t>
            </w:r>
          </w:p>
        </w:tc>
        <w:tc>
          <w:tcPr/>
          <w:p>
            <w:pPr>
              <w:pStyle w:val="Compact"/>
            </w:pPr>
            <w:r>
              <w:t xml:space="preserve">• Cálculo de índices espaciales</w:t>
            </w:r>
            <w:r>
              <w:t xml:space="preserve">• Generación de metadatos</w:t>
            </w:r>
            <w:r>
              <w:t xml:space="preserve">• Asignación de identificadores</w:t>
            </w:r>
          </w:p>
        </w:tc>
        <w:tc>
          <w:tcPr/>
          <w:p>
            <w:pPr>
              <w:pStyle w:val="Compact"/>
            </w:pPr>
            <w:r>
              <w:t xml:space="preserve">PostGIS, UUID</w:t>
            </w:r>
          </w:p>
        </w:tc>
        <w:tc>
          <w:tcPr/>
          <w:p>
            <w:pPr>
              <w:pStyle w:val="Compact"/>
            </w:pPr>
            <w:r>
              <w:t xml:space="preserve">• Índices creados</w:t>
            </w:r>
            <w:r>
              <w:t xml:space="preserve">• Metadatos ISO completos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Publicación</w:t>
            </w:r>
          </w:p>
        </w:tc>
        <w:tc>
          <w:tcPr/>
          <w:p>
            <w:pPr>
              <w:pStyle w:val="Compact"/>
            </w:pPr>
            <w:r>
              <w:t xml:space="preserve">• Creación de servicios web</w:t>
            </w:r>
            <w:r>
              <w:t xml:space="preserve">• Registro en catálogo</w:t>
            </w:r>
            <w:r>
              <w:t xml:space="preserve">• Configuración de acceso</w:t>
            </w:r>
          </w:p>
        </w:tc>
        <w:tc>
          <w:tcPr/>
          <w:p>
            <w:pPr>
              <w:pStyle w:val="Compact"/>
            </w:pPr>
            <w:r>
              <w:t xml:space="preserve">GeoServer, PyCSW</w:t>
            </w:r>
          </w:p>
        </w:tc>
        <w:tc>
          <w:tcPr/>
          <w:p>
            <w:pPr>
              <w:pStyle w:val="Compact"/>
            </w:pPr>
            <w:r>
              <w:t xml:space="preserve">• Servicios disponibles</w:t>
            </w:r>
            <w:r>
              <w:t xml:space="preserve">• Metadatos publicados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Ingesta</w:t>
      </w:r>
      <w:r>
        <w:t xml:space="preserve">: Un script de ingesta recibe una nueva capa de datos (ej. un Shapefile de zonas de inundación del SHOA).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Extracción de Metadatos</w:t>
      </w:r>
      <w:r>
        <w:t xml:space="preserve">: El sistema intenta extraer los metadatos existentes.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Validación Semántica</w:t>
      </w:r>
      <w:r>
        <w:t xml:space="preserve">: Compara los metadatos extraídos con el perfil ISO 19115 del MCU.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Si cumple</w:t>
      </w:r>
      <w:r>
        <w:t xml:space="preserve">: El dato pasa a la siguiente fase.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Si no cumple</w:t>
      </w:r>
      <w:r>
        <w:t xml:space="preserve">: El sistema intenta corregir automáticamente las inconsistencias comunes (ej. estandarizar nombres de campos) o, en caso de fallo, lo marca para revisión manual por un experto.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Almacenamiento</w:t>
      </w:r>
      <w:r>
        <w:t xml:space="preserve">: La capa de datos, junto con sus metadatos estandarizados, se almacena en una base de datos geoespacial central (PostGIS).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Publicación</w:t>
      </w:r>
      <w:r>
        <w:t xml:space="preserve">: Se crea un nuevo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de servicio (WMS/WFS) para que la capa esté disponible para el resto de los módulos de PIGEM y para consumidores externos.</w:t>
      </w:r>
    </w:p>
    <w:bookmarkEnd w:id="17"/>
    <w:bookmarkEnd w:id="18"/>
    <w:bookmarkStart w:id="21" w:name="X8e9b940b9ce220f41dae42da2006090ffccf9b5"/>
    <w:p>
      <w:pPr>
        <w:pStyle w:val="Heading2"/>
      </w:pPr>
      <w:r>
        <w:t xml:space="preserve">5. Capas de Información Gestionadas por el MCU</w:t>
      </w:r>
    </w:p>
    <w:p>
      <w:pPr>
        <w:pStyle w:val="FirstParagraph"/>
      </w:pPr>
      <w:r>
        <w:t xml:space="preserve">El MCU está diseñado para armonizar tres categorías principales de capas, siguiendo la metodología de análisis de riesgo establecida por UNDRR (2017):</w:t>
      </w:r>
    </w:p>
    <w:bookmarkStart w:id="19" w:name="taxonomía-de-capas-de-información"/>
    <w:p>
      <w:pPr>
        <w:pStyle w:val="Heading3"/>
      </w:pPr>
      <w:r>
        <w:t xml:space="preserve">5.1 Taxonomía de Capas de Información</w:t>
      </w:r>
    </w:p>
    <w:p>
      <w:pPr>
        <w:pStyle w:val="FirstParagraph"/>
      </w:pPr>
      <w:r>
        <w:rPr>
          <w:b/>
          <w:bCs/>
        </w:rPr>
        <w:t xml:space="preserve">Tabla 5: Clasificación de Capas de Información en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5"/>
        <w:gridCol w:w="1218"/>
        <w:gridCol w:w="1286"/>
        <w:gridCol w:w="1421"/>
        <w:gridCol w:w="2030"/>
        <w:gridCol w:w="94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Principal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 Actualización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AMENAZA</w:t>
            </w:r>
          </w:p>
        </w:tc>
        <w:tc>
          <w:tcPr/>
          <w:p>
            <w:pPr>
              <w:pStyle w:val="Compact"/>
            </w:pPr>
            <w:r>
              <w:t xml:space="preserve">Sísmica</w:t>
            </w:r>
          </w:p>
        </w:tc>
        <w:tc>
          <w:tcPr/>
          <w:p>
            <w:pPr>
              <w:pStyle w:val="Compact"/>
            </w:pPr>
            <w:r>
              <w:t xml:space="preserve">Vector/Raster</w:t>
            </w:r>
          </w:p>
        </w:tc>
        <w:tc>
          <w:tcPr/>
          <w:p>
            <w:pPr>
              <w:pStyle w:val="Compact"/>
            </w:pPr>
            <w:r>
              <w:t xml:space="preserve">SERNAGEOMIN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Fallas activas, zonificación sísmica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SHOA</w:t>
            </w:r>
          </w:p>
        </w:tc>
        <w:tc>
          <w:tcPr/>
          <w:p>
            <w:pPr>
              <w:pStyle w:val="Compact"/>
            </w:pPr>
            <w:r>
              <w:t xml:space="preserve">Quinquenal</w:t>
            </w:r>
          </w:p>
        </w:tc>
        <w:tc>
          <w:tcPr/>
          <w:p>
            <w:pPr>
              <w:pStyle w:val="Compact"/>
            </w:pPr>
            <w:r>
              <w:t xml:space="preserve">Cartas de inundación, tiempos de llegada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Volcánica</w:t>
            </w:r>
          </w:p>
        </w:tc>
        <w:tc>
          <w:tcPr/>
          <w:p>
            <w:pPr>
              <w:pStyle w:val="Compact"/>
            </w:pPr>
            <w:r>
              <w:t xml:space="preserve">Vector/Raster</w:t>
            </w:r>
          </w:p>
        </w:tc>
        <w:tc>
          <w:tcPr/>
          <w:p>
            <w:pPr>
              <w:pStyle w:val="Compact"/>
            </w:pPr>
            <w:r>
              <w:t xml:space="preserve">SERNAGEOMIN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Peligros volcánicos, lahares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Climática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DMC</w:t>
            </w:r>
          </w:p>
        </w:tc>
        <w:tc>
          <w:tcPr/>
          <w:p>
            <w:pPr>
              <w:pStyle w:val="Compact"/>
            </w:pPr>
            <w:r>
              <w:t xml:space="preserve">Diaria</w:t>
            </w:r>
          </w:p>
        </w:tc>
        <w:tc>
          <w:tcPr/>
          <w:p>
            <w:pPr>
              <w:pStyle w:val="Compact"/>
            </w:pPr>
            <w:r>
              <w:t xml:space="preserve">Precipitaciones, vientos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Incendios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CONAF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  <w:tc>
          <w:tcPr/>
          <w:p>
            <w:pPr>
              <w:pStyle w:val="Compact"/>
            </w:pPr>
            <w:r>
              <w:t xml:space="preserve">Índice de peligro, combustible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VULNERABILIDAD</w:t>
            </w:r>
          </w:p>
        </w:tc>
        <w:tc>
          <w:tcPr/>
          <w:p>
            <w:pPr>
              <w:pStyle w:val="Compact"/>
            </w:pPr>
            <w:r>
              <w:t xml:space="preserve">Física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INE, Municipios</w:t>
            </w:r>
          </w:p>
        </w:tc>
        <w:tc>
          <w:tcPr/>
          <w:p>
            <w:pPr>
              <w:pStyle w:val="Compact"/>
            </w:pPr>
            <w:r>
              <w:t xml:space="preserve">Censal</w:t>
            </w:r>
          </w:p>
        </w:tc>
        <w:tc>
          <w:tcPr/>
          <w:p>
            <w:pPr>
              <w:pStyle w:val="Compact"/>
            </w:pPr>
            <w:r>
              <w:t xml:space="preserve">Tipología constructiva, año construcción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Social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INE, CASEN</w:t>
            </w:r>
          </w:p>
        </w:tc>
        <w:tc>
          <w:tcPr/>
          <w:p>
            <w:pPr>
              <w:pStyle w:val="Compact"/>
            </w:pPr>
            <w:r>
              <w:t xml:space="preserve">Censal</w:t>
            </w:r>
          </w:p>
        </w:tc>
        <w:tc>
          <w:tcPr/>
          <w:p>
            <w:pPr>
              <w:pStyle w:val="Compact"/>
            </w:pPr>
            <w:r>
              <w:t xml:space="preserve">Educación, dependencia, pobreza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Económica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SII, INE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Avalúos, actividad económica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Ambiental</w:t>
            </w:r>
          </w:p>
        </w:tc>
        <w:tc>
          <w:tcPr/>
          <w:p>
            <w:pPr>
              <w:pStyle w:val="Compact"/>
            </w:pPr>
            <w:r>
              <w:t xml:space="preserve">Raster</w:t>
            </w:r>
          </w:p>
        </w:tc>
        <w:tc>
          <w:tcPr/>
          <w:p>
            <w:pPr>
              <w:pStyle w:val="Compact"/>
            </w:pPr>
            <w:r>
              <w:t xml:space="preserve">MMA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Ecosistemas frágiles, biodiversidad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</w:t>
            </w:r>
          </w:p>
        </w:tc>
        <w:tc>
          <w:tcPr/>
          <w:p>
            <w:pPr>
              <w:pStyle w:val="Compac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Municipios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  <w:tc>
          <w:tcPr/>
          <w:p>
            <w:pPr>
              <w:pStyle w:val="Compact"/>
            </w:pPr>
            <w:r>
              <w:t xml:space="preserve">Hospitales, escuelas, cuarteles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Transporte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MOP, Municipios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Red vial, puentes, puertos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Comunicaciones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SUBTEL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  <w:tc>
          <w:tcPr/>
          <w:p>
            <w:pPr>
              <w:pStyle w:val="Compact"/>
            </w:pPr>
            <w:r>
              <w:t xml:space="preserve">Antenas, fibra óptica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Respuesta</w:t>
            </w:r>
          </w:p>
        </w:tc>
        <w:tc>
          <w:tcPr/>
          <w:p>
            <w:pPr>
              <w:pStyle w:val="Compact"/>
            </w:pPr>
            <w:r>
              <w:t xml:space="preserve">Vector</w:t>
            </w:r>
          </w:p>
        </w:tc>
        <w:tc>
          <w:tcPr/>
          <w:p>
            <w:pPr>
              <w:pStyle w:val="Compact"/>
            </w:pPr>
            <w:r>
              <w:t xml:space="preserve">SENAPRED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  <w:tc>
          <w:tcPr/>
          <w:p>
            <w:pPr>
              <w:pStyle w:val="Compact"/>
            </w:pPr>
            <w:r>
              <w:t xml:space="preserve">Albergues, equipos de emergencia</w:t>
            </w:r>
          </w:p>
        </w:tc>
      </w:tr>
    </w:tbl>
    <w:bookmarkEnd w:id="19"/>
    <w:bookmarkStart w:id="20" w:name="modelo-de-datos-unificado"/>
    <w:p>
      <w:pPr>
        <w:pStyle w:val="Heading3"/>
      </w:pPr>
      <w:r>
        <w:t xml:space="preserve">5.2 Modelo de Datos Unificado</w:t>
      </w:r>
    </w:p>
    <w:p>
      <w:pPr>
        <w:pStyle w:val="FirstParagraph"/>
      </w:pPr>
      <w:r>
        <w:rPr>
          <w:b/>
          <w:bCs/>
        </w:rPr>
        <w:t xml:space="preserve">Tabla 6: Estructura de Metadatos Extendida para Gestión de Riesgos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0"/>
        <w:gridCol w:w="1218"/>
        <w:gridCol w:w="2071"/>
        <w:gridCol w:w="328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Vocabulario Controlado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risk_category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Categoría principal</w:t>
            </w:r>
          </w:p>
        </w:tc>
        <w:tc>
          <w:tcPr/>
          <w:p>
            <w:pPr>
              <w:pStyle w:val="Compact"/>
            </w:pPr>
            <w:r>
              <w:t xml:space="preserve">“amenaza”</w:t>
            </w:r>
            <w:r>
              <w:t xml:space="preserve">,</w:t>
            </w:r>
            <w:r>
              <w:t xml:space="preserve"> </w:t>
            </w:r>
            <w:r>
              <w:t xml:space="preserve">“vulnerabilidad”</w:t>
            </w:r>
            <w:r>
              <w:t xml:space="preserve">,</w:t>
            </w:r>
            <w:r>
              <w:t xml:space="preserve"> </w:t>
            </w:r>
            <w:r>
              <w:t xml:space="preserve">“capacidad”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risk_subcategory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Subcategoría específica</w:t>
            </w:r>
          </w:p>
        </w:tc>
        <w:tc>
          <w:tcPr/>
          <w:p>
            <w:pPr>
              <w:pStyle w:val="Compact"/>
            </w:pPr>
            <w:r>
              <w:t xml:space="preserve">“sismica”</w:t>
            </w:r>
            <w:r>
              <w:t xml:space="preserve">,</w:t>
            </w:r>
            <w:r>
              <w:t xml:space="preserve"> </w:t>
            </w:r>
            <w:r>
              <w:t xml:space="preserve">“tsunami”</w:t>
            </w:r>
            <w:r>
              <w:t xml:space="preserve">,</w:t>
            </w:r>
            <w:r>
              <w:t xml:space="preserve"> </w:t>
            </w:r>
            <w:r>
              <w:t xml:space="preserve">“social”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hazard_type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Tipo de amenaza</w:t>
            </w:r>
          </w:p>
        </w:tc>
        <w:tc>
          <w:tcPr/>
          <w:p>
            <w:pPr>
              <w:pStyle w:val="Compact"/>
            </w:pPr>
            <w:r>
              <w:t xml:space="preserve">Taxonomía UNDRR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severity_scale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Escala de severidad</w:t>
            </w:r>
          </w:p>
        </w:tc>
        <w:tc>
          <w:tcPr/>
          <w:p>
            <w:pPr>
              <w:pStyle w:val="Compact"/>
            </w:pPr>
            <w:r>
              <w:t xml:space="preserve">“mercalli”</w:t>
            </w:r>
            <w:r>
              <w:t xml:space="preserve">,</w:t>
            </w:r>
            <w:r>
              <w:t xml:space="preserve"> </w:t>
            </w:r>
            <w:r>
              <w:t xml:space="preserve">“richter”</w:t>
            </w:r>
            <w:r>
              <w:t xml:space="preserve">,</w:t>
            </w:r>
            <w:r>
              <w:t xml:space="preserve"> </w:t>
            </w:r>
            <w:r>
              <w:t xml:space="preserve">“beaufort”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return_period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Período de retorno (años)</w:t>
            </w:r>
          </w:p>
        </w:tc>
        <w:tc>
          <w:tcPr/>
          <w:p>
            <w:pPr>
              <w:pStyle w:val="Compact"/>
            </w:pPr>
            <w:r>
              <w:t xml:space="preserve">10, 25, 50, 100, 200, 500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confidence_level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Nivel de confianza (0-1)</w:t>
            </w:r>
          </w:p>
        </w:tc>
        <w:tc>
          <w:tcPr/>
          <w:p>
            <w:pPr>
              <w:pStyle w:val="Compact"/>
            </w:pPr>
            <w:r>
              <w:t xml:space="preserve">0.95, 0.90, 0.85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uncertainty_type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Tipo de incertidumbre</w:t>
            </w:r>
          </w:p>
        </w:tc>
        <w:tc>
          <w:tcPr/>
          <w:p>
            <w:pPr>
              <w:pStyle w:val="Compact"/>
            </w:pPr>
            <w:r>
              <w:t xml:space="preserve">“aleatorio”</w:t>
            </w:r>
            <w:r>
              <w:t xml:space="preserve">,</w:t>
            </w:r>
            <w:r>
              <w:t xml:space="preserve"> </w:t>
            </w:r>
            <w:r>
              <w:t xml:space="preserve">“epistémico”</w:t>
            </w:r>
            <w:r>
              <w:t xml:space="preserve">,</w:t>
            </w:r>
            <w:r>
              <w:t xml:space="preserve"> </w:t>
            </w:r>
            <w:r>
              <w:t xml:space="preserve">“modelo”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validation_status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Estado de validación</w:t>
            </w:r>
          </w:p>
        </w:tc>
        <w:tc>
          <w:tcPr/>
          <w:p>
            <w:pPr>
              <w:pStyle w:val="Compact"/>
            </w:pPr>
            <w:r>
              <w:t xml:space="preserve">“validado”</w:t>
            </w:r>
            <w:r>
              <w:t xml:space="preserve">,</w:t>
            </w:r>
            <w:r>
              <w:t xml:space="preserve"> </w:t>
            </w:r>
            <w:r>
              <w:t xml:space="preserve">“preliminar”</w:t>
            </w:r>
            <w:r>
              <w:t xml:space="preserve">,</w:t>
            </w:r>
            <w:r>
              <w:t xml:space="preserve"> </w:t>
            </w:r>
            <w:r>
              <w:t xml:space="preserve">“experimental”</w:t>
            </w:r>
          </w:p>
        </w:tc>
      </w:tr>
    </w:tbl>
    <w:p>
      <w:pPr>
        <w:pStyle w:val="BodyText"/>
      </w:pPr>
      <w:r>
        <w:t xml:space="preserve">La integración coherente de estas tres categorías de datos es lo que permite al motor de simulación realizar análisis de riesgo complejos y realistas.</w:t>
      </w:r>
    </w:p>
    <w:bookmarkEnd w:id="20"/>
    <w:bookmarkEnd w:id="21"/>
    <w:bookmarkStart w:id="24" w:name="implementación-técnica"/>
    <w:p>
      <w:pPr>
        <w:pStyle w:val="Heading2"/>
      </w:pPr>
      <w:r>
        <w:t xml:space="preserve">6. Implementación Técnica</w:t>
      </w:r>
    </w:p>
    <w:bookmarkStart w:id="22" w:name="stack-tecnológico"/>
    <w:p>
      <w:pPr>
        <w:pStyle w:val="Heading3"/>
      </w:pPr>
      <w:r>
        <w:t xml:space="preserve">6.1 Stack Tecnológico</w:t>
      </w:r>
    </w:p>
    <w:p>
      <w:pPr>
        <w:pStyle w:val="FirstParagraph"/>
      </w:pPr>
      <w:r>
        <w:rPr>
          <w:b/>
          <w:bCs/>
        </w:rPr>
        <w:t xml:space="preserve">Tabla 7: Componentes Tecnológicos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1760"/>
        <w:gridCol w:w="1430"/>
        <w:gridCol w:w="143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Licencia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t xml:space="preserve">PostgreSQL + PostGIS</w:t>
            </w:r>
          </w:p>
        </w:tc>
        <w:tc>
          <w:tcPr/>
          <w:p>
            <w:pPr>
              <w:pStyle w:val="Compact"/>
            </w:pPr>
            <w:r>
              <w:t xml:space="preserve">15.0 + 3.4</w:t>
            </w:r>
          </w:p>
        </w:tc>
        <w:tc>
          <w:tcPr/>
          <w:p>
            <w:pPr>
              <w:pStyle w:val="Compact"/>
            </w:pPr>
            <w:r>
              <w:t xml:space="preserve">Almacenamiento geoespacial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Servidor de Mapas</w:t>
            </w:r>
          </w:p>
        </w:tc>
        <w:tc>
          <w:tcPr/>
          <w:p>
            <w:pPr>
              <w:pStyle w:val="Compact"/>
            </w:pPr>
            <w:r>
              <w:t xml:space="preserve">GeoServer</w:t>
            </w:r>
          </w:p>
        </w:tc>
        <w:tc>
          <w:tcPr/>
          <w:p>
            <w:pPr>
              <w:pStyle w:val="Compact"/>
            </w:pPr>
            <w:r>
              <w:t xml:space="preserve">2.24</w:t>
            </w:r>
          </w:p>
        </w:tc>
        <w:tc>
          <w:tcPr/>
          <w:p>
            <w:pPr>
              <w:pStyle w:val="Compact"/>
            </w:pPr>
            <w:r>
              <w:t xml:space="preserve">Servicios web OGC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Catálogo de Metadatos</w:t>
            </w:r>
          </w:p>
        </w:tc>
        <w:tc>
          <w:tcPr/>
          <w:p>
            <w:pPr>
              <w:pStyle w:val="Compact"/>
            </w:pPr>
            <w:r>
              <w:t xml:space="preserve">PyCSW</w:t>
            </w:r>
          </w:p>
        </w:tc>
        <w:tc>
          <w:tcPr/>
          <w:p>
            <w:pPr>
              <w:pStyle w:val="Compact"/>
            </w:pPr>
            <w:r>
              <w:t xml:space="preserve">2.6</w:t>
            </w:r>
          </w:p>
        </w:tc>
        <w:tc>
          <w:tcPr/>
          <w:p>
            <w:pPr>
              <w:pStyle w:val="Compact"/>
            </w:pPr>
            <w:r>
              <w:t xml:space="preserve">Servicio CSW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Procesamiento</w:t>
            </w:r>
          </w:p>
        </w:tc>
        <w:tc>
          <w:tcPr/>
          <w:p>
            <w:pPr>
              <w:pStyle w:val="Compact"/>
            </w:pPr>
            <w:r>
              <w:t xml:space="preserve">GDAL/OGR</w:t>
            </w:r>
          </w:p>
        </w:tc>
        <w:tc>
          <w:tcPr/>
          <w:p>
            <w:pPr>
              <w:pStyle w:val="Compact"/>
            </w:pPr>
            <w:r>
              <w:t xml:space="preserve">3.7</w:t>
            </w:r>
          </w:p>
        </w:tc>
        <w:tc>
          <w:tcPr/>
          <w:p>
            <w:pPr>
              <w:pStyle w:val="Compact"/>
            </w:pPr>
            <w:r>
              <w:t xml:space="preserve">Conversión de formatos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REST</w:t>
            </w:r>
          </w:p>
        </w:tc>
        <w:tc>
          <w:tcPr/>
          <w:p>
            <w:pPr>
              <w:pStyle w:val="Compact"/>
            </w:pPr>
            <w:r>
              <w:t xml:space="preserve">FastAPI</w:t>
            </w:r>
          </w:p>
        </w:tc>
        <w:tc>
          <w:tcPr/>
          <w:p>
            <w:pPr>
              <w:pStyle w:val="Compact"/>
            </w:pPr>
            <w:r>
              <w:t xml:space="preserve">0.104</w:t>
            </w:r>
          </w:p>
        </w:tc>
        <w:tc>
          <w:tcPr/>
          <w:p>
            <w:pPr>
              <w:pStyle w:val="Compact"/>
            </w:pPr>
            <w:r>
              <w:t xml:space="preserve">Interfaz de programación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Orquestación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2.21</w:t>
            </w:r>
          </w:p>
        </w:tc>
        <w:tc>
          <w:tcPr/>
          <w:p>
            <w:pPr>
              <w:pStyle w:val="Compact"/>
            </w:pPr>
            <w:r>
              <w:t xml:space="preserve">Despliegue de servicios</w:t>
            </w:r>
          </w:p>
        </w:tc>
        <w:tc>
          <w:tcPr/>
          <w:p>
            <w:pPr>
              <w:pStyle w:val="Compact"/>
            </w:pPr>
            <w:r>
              <w:t xml:space="preserve">Open Source</w:t>
            </w:r>
          </w:p>
        </w:tc>
      </w:tr>
    </w:tbl>
    <w:bookmarkEnd w:id="22"/>
    <w:bookmarkStart w:id="23" w:name="ejemplo-de-implementación"/>
    <w:p>
      <w:pPr>
        <w:pStyle w:val="Heading3"/>
      </w:pPr>
      <w:r>
        <w:t xml:space="preserve">6.2 Ejemplo de Implementación</w:t>
      </w:r>
    </w:p>
    <w:p>
      <w:pPr>
        <w:pStyle w:val="SourceCode"/>
      </w:pPr>
      <w:r>
        <w:rPr>
          <w:rStyle w:val="CommentTok"/>
        </w:rPr>
        <w:t xml:space="preserve"># Ejemplo de código para ingesta automática de datos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MCUDataIngester: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db_connection, metadata_validator):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metadata_validator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file_path, source_institution):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Ingesta un dataset al MCU siguiendo el protocolo estandarizado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Detección automática de formato</w:t>
      </w:r>
      <w:r>
        <w:br/>
      </w:r>
      <w:r>
        <w:rPr>
          <w:rStyle w:val="NormalTok"/>
        </w:rPr>
        <w:t xml:space="preserve">        dataset_info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.detect_format(file_path)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Extracción de metadatos</w:t>
      </w:r>
      <w:r>
        <w:br/>
      </w:r>
      <w:r>
        <w:rPr>
          <w:rStyle w:val="NormalTok"/>
        </w:rPr>
        <w:t xml:space="preserve">        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.extract_metadata(file_path, dataset_info)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Validación según perfil ISO 19115</w:t>
      </w:r>
      <w:r>
        <w:br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.validator.validate(metadata)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validation_result.is_valid: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4. Normalización y almacenamiento</w:t>
      </w:r>
      <w:r>
        <w:br/>
      </w:r>
      <w:r>
        <w:rPr>
          <w:rStyle w:val="NormalTok"/>
        </w:rPr>
        <w:t xml:space="preserve">            normalized_data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.normalize_dataset(file_path, metadata)</w:t>
      </w:r>
      <w:r>
        <w:br/>
      </w:r>
      <w:r>
        <w:rPr>
          <w:rStyle w:val="NormalTok"/>
        </w:rPr>
        <w:t xml:space="preserve">            dataset_id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.store_dataset(normalized_data, metadata)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5. Publicación de servicios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.publish_services(dataset_id, metadata)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"dataset_id"</w:t>
      </w:r>
      <w:r>
        <w:rPr>
          <w:rStyle w:val="NormalTok"/>
        </w:rPr>
        <w:t xml:space="preserve">: dataset_id}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: validation_result.errors}</w:t>
      </w:r>
    </w:p>
    <w:bookmarkEnd w:id="23"/>
    <w:bookmarkEnd w:id="24"/>
    <w:bookmarkStart w:id="27" w:name="casos-de-uso-y-beneficios"/>
    <w:p>
      <w:pPr>
        <w:pStyle w:val="Heading2"/>
      </w:pPr>
      <w:r>
        <w:t xml:space="preserve">7. Casos de Uso y Beneficios</w:t>
      </w:r>
    </w:p>
    <w:bookmarkStart w:id="25" w:name="escenarios-de-aplicación"/>
    <w:p>
      <w:pPr>
        <w:pStyle w:val="Heading3"/>
      </w:pPr>
      <w:r>
        <w:t xml:space="preserve">7.1 Escenarios de Aplicación</w:t>
      </w:r>
    </w:p>
    <w:p>
      <w:pPr>
        <w:pStyle w:val="FirstParagraph"/>
      </w:pPr>
      <w:r>
        <w:rPr>
          <w:b/>
          <w:bCs/>
        </w:rPr>
        <w:t xml:space="preserve">Tabla 8: Casos de Uso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584"/>
        <w:gridCol w:w="1827"/>
        <w:gridCol w:w="26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Escenario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Actores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Beneficio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Planificación Municipal</w:t>
            </w:r>
          </w:p>
        </w:tc>
        <w:tc>
          <w:tcPr/>
          <w:p>
            <w:pPr>
              <w:pStyle w:val="Compact"/>
            </w:pPr>
            <w:r>
              <w:t xml:space="preserve">Municipalidad de Valparaíso</w:t>
            </w:r>
          </w:p>
        </w:tc>
        <w:tc>
          <w:tcPr/>
          <w:p>
            <w:pPr>
              <w:pStyle w:val="Compact"/>
            </w:pPr>
            <w:r>
              <w:t xml:space="preserve">Acceso integrado a datos de riesgo</w:t>
            </w:r>
          </w:p>
        </w:tc>
        <w:tc>
          <w:tcPr/>
          <w:p>
            <w:pPr>
              <w:pStyle w:val="Compact"/>
            </w:pPr>
            <w:r>
              <w:t xml:space="preserve">Reducción 70% tiempo de preparación de informes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Respuesta de Emergencia</w:t>
            </w:r>
          </w:p>
        </w:tc>
        <w:tc>
          <w:tcPr/>
          <w:p>
            <w:pPr>
              <w:pStyle w:val="Compact"/>
            </w:pPr>
            <w:r>
              <w:t xml:space="preserve">SENAPRED, Bomberos</w:t>
            </w:r>
          </w:p>
        </w:tc>
        <w:tc>
          <w:tcPr/>
          <w:p>
            <w:pPr>
              <w:pStyle w:val="Compact"/>
            </w:pPr>
            <w:r>
              <w:t xml:space="preserve">Información unificada en tiempo real</w:t>
            </w:r>
          </w:p>
        </w:tc>
        <w:tc>
          <w:tcPr/>
          <w:p>
            <w:pPr>
              <w:pStyle w:val="Compact"/>
            </w:pPr>
            <w:r>
              <w:t xml:space="preserve">Mejora 40% tiempo de respuesta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Investigación Académica</w:t>
            </w:r>
          </w:p>
        </w:tc>
        <w:tc>
          <w:tcPr/>
          <w:p>
            <w:pPr>
              <w:pStyle w:val="Compact"/>
            </w:pPr>
            <w:r>
              <w:t xml:space="preserve">Universidades</w:t>
            </w:r>
          </w:p>
        </w:tc>
        <w:tc>
          <w:tcPr/>
          <w:p>
            <w:pPr>
              <w:pStyle w:val="Compact"/>
            </w:pPr>
            <w:r>
              <w:t xml:space="preserve">Datos estandarizados para análisis</w:t>
            </w:r>
          </w:p>
        </w:tc>
        <w:tc>
          <w:tcPr/>
          <w:p>
            <w:pPr>
              <w:pStyle w:val="Compact"/>
            </w:pPr>
            <w:r>
              <w:t xml:space="preserve">Incremento 200% en publicaciones colaborativas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Desarrollo de Políticas</w:t>
            </w:r>
          </w:p>
        </w:tc>
        <w:tc>
          <w:tcPr/>
          <w:p>
            <w:pPr>
              <w:pStyle w:val="Compact"/>
            </w:pPr>
            <w:r>
              <w:t xml:space="preserve">MINVU, MOP</w:t>
            </w:r>
          </w:p>
        </w:tc>
        <w:tc>
          <w:tcPr/>
          <w:p>
            <w:pPr>
              <w:pStyle w:val="Compact"/>
            </w:pPr>
            <w:r>
              <w:t xml:space="preserve">Base de evidencia consistente</w:t>
            </w:r>
          </w:p>
        </w:tc>
        <w:tc>
          <w:tcPr/>
          <w:p>
            <w:pPr>
              <w:pStyle w:val="Compact"/>
            </w:pPr>
            <w:r>
              <w:t xml:space="preserve">Reducción 50% tiempo de evaluación de proyectos</w:t>
            </w:r>
          </w:p>
        </w:tc>
      </w:tr>
    </w:tbl>
    <w:bookmarkEnd w:id="25"/>
    <w:bookmarkStart w:id="26" w:name="indicadores-de-desempeño"/>
    <w:p>
      <w:pPr>
        <w:pStyle w:val="Heading3"/>
      </w:pPr>
      <w:r>
        <w:t xml:space="preserve">7.2 Indicadores de Desempeño</w:t>
      </w:r>
    </w:p>
    <w:p>
      <w:pPr>
        <w:pStyle w:val="FirstParagraph"/>
      </w:pPr>
      <w:r>
        <w:rPr>
          <w:b/>
          <w:bCs/>
        </w:rPr>
        <w:t xml:space="preserve">Tabla 9: KPIs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3"/>
        <w:gridCol w:w="1450"/>
        <w:gridCol w:w="2119"/>
        <w:gridCol w:w="26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Indicador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Interoperabilidad</w:t>
            </w:r>
          </w:p>
        </w:tc>
        <w:tc>
          <w:tcPr/>
          <w:p>
            <w:pPr>
              <w:pStyle w:val="Compact"/>
            </w:pPr>
            <w:r>
              <w:t xml:space="preserve">% datasets integrados automáticamente</w:t>
            </w:r>
          </w:p>
        </w:tc>
        <w:tc>
          <w:tcPr/>
          <w:p>
            <w:pPr>
              <w:pStyle w:val="Compact"/>
            </w:pPr>
            <w:r>
              <w:t xml:space="preserve">&gt;85%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 de Datos</w:t>
            </w:r>
          </w:p>
        </w:tc>
        <w:tc>
          <w:tcPr/>
          <w:p>
            <w:pPr>
              <w:pStyle w:val="Compact"/>
            </w:pPr>
            <w:r>
              <w:t xml:space="preserve">% metadatos completos según ISO 19115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</w:pPr>
            <w:r>
              <w:t xml:space="preserve">Uptime servicios web</w:t>
            </w:r>
          </w:p>
        </w:tc>
        <w:tc>
          <w:tcPr/>
          <w:p>
            <w:pPr>
              <w:pStyle w:val="Compact"/>
            </w:pPr>
            <w:r>
              <w:t xml:space="preserve">&gt;99.5%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Adopción</w:t>
            </w:r>
          </w:p>
        </w:tc>
        <w:tc>
          <w:tcPr/>
          <w:p>
            <w:pPr>
              <w:pStyle w:val="Compact"/>
            </w:pPr>
            <w:r>
              <w:t xml:space="preserve">Número de organizaciones usuarias</w:t>
            </w:r>
          </w:p>
        </w:tc>
        <w:tc>
          <w:tcPr/>
          <w:p>
            <w:pPr>
              <w:pStyle w:val="Compact"/>
            </w:pPr>
            <w:r>
              <w:t xml:space="preserve">&gt;20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Tiempo promedio de ingesta</w:t>
            </w:r>
          </w:p>
        </w:tc>
        <w:tc>
          <w:tcPr/>
          <w:p>
            <w:pPr>
              <w:pStyle w:val="Compact"/>
            </w:pPr>
            <w:r>
              <w:t xml:space="preserve">&lt;2 horas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</w:tbl>
    <w:bookmarkEnd w:id="26"/>
    <w:bookmarkEnd w:id="27"/>
    <w:bookmarkStart w:id="30" w:name="casos-de-uso-y-beneficios-1"/>
    <w:p>
      <w:pPr>
        <w:pStyle w:val="Heading2"/>
      </w:pPr>
      <w:r>
        <w:t xml:space="preserve">8. Casos de Uso y Beneficios</w:t>
      </w:r>
    </w:p>
    <w:bookmarkStart w:id="28" w:name="escenarios-de-aplicación-1"/>
    <w:p>
      <w:pPr>
        <w:pStyle w:val="Heading3"/>
      </w:pPr>
      <w:r>
        <w:t xml:space="preserve">8.1 Escenarios de Aplicación</w:t>
      </w:r>
    </w:p>
    <w:p>
      <w:pPr>
        <w:pStyle w:val="FirstParagraph"/>
      </w:pPr>
      <w:r>
        <w:rPr>
          <w:b/>
          <w:bCs/>
        </w:rPr>
        <w:t xml:space="preserve">Tabla 8: Casos de Uso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584"/>
        <w:gridCol w:w="1827"/>
        <w:gridCol w:w="26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Escenario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Actores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Beneficio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de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Planificación Municipal</w:t>
            </w:r>
          </w:p>
        </w:tc>
        <w:tc>
          <w:tcPr/>
          <w:p>
            <w:pPr>
              <w:pStyle w:val="Compact"/>
            </w:pPr>
            <w:r>
              <w:t xml:space="preserve">Municipalidad de Valparaíso</w:t>
            </w:r>
          </w:p>
        </w:tc>
        <w:tc>
          <w:tcPr/>
          <w:p>
            <w:pPr>
              <w:pStyle w:val="Compact"/>
            </w:pPr>
            <w:r>
              <w:t xml:space="preserve">Acceso integrado a datos de riesgo</w:t>
            </w:r>
          </w:p>
        </w:tc>
        <w:tc>
          <w:tcPr/>
          <w:p>
            <w:pPr>
              <w:pStyle w:val="Compact"/>
            </w:pPr>
            <w:r>
              <w:t xml:space="preserve">Reducción 70% tiempo de preparación de informes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Respuesta de Emergencia</w:t>
            </w:r>
          </w:p>
        </w:tc>
        <w:tc>
          <w:tcPr/>
          <w:p>
            <w:pPr>
              <w:pStyle w:val="Compact"/>
            </w:pPr>
            <w:r>
              <w:t xml:space="preserve">SENAPRED, Bomberos</w:t>
            </w:r>
          </w:p>
        </w:tc>
        <w:tc>
          <w:tcPr/>
          <w:p>
            <w:pPr>
              <w:pStyle w:val="Compact"/>
            </w:pPr>
            <w:r>
              <w:t xml:space="preserve">Información unificada en tiempo real</w:t>
            </w:r>
          </w:p>
        </w:tc>
        <w:tc>
          <w:tcPr/>
          <w:p>
            <w:pPr>
              <w:pStyle w:val="Compact"/>
            </w:pPr>
            <w:r>
              <w:t xml:space="preserve">Mejora 40% tiempo de respuesta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Investigación Académica</w:t>
            </w:r>
          </w:p>
        </w:tc>
        <w:tc>
          <w:tcPr/>
          <w:p>
            <w:pPr>
              <w:pStyle w:val="Compact"/>
            </w:pPr>
            <w:r>
              <w:t xml:space="preserve">Universidades</w:t>
            </w:r>
          </w:p>
        </w:tc>
        <w:tc>
          <w:tcPr/>
          <w:p>
            <w:pPr>
              <w:pStyle w:val="Compact"/>
            </w:pPr>
            <w:r>
              <w:t xml:space="preserve">Datos estandarizados para análisis</w:t>
            </w:r>
          </w:p>
        </w:tc>
        <w:tc>
          <w:tcPr/>
          <w:p>
            <w:pPr>
              <w:pStyle w:val="Compact"/>
            </w:pPr>
            <w:r>
              <w:t xml:space="preserve">Incremento 200% en publicaciones colaborativas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Desarrollo de Políticas</w:t>
            </w:r>
          </w:p>
        </w:tc>
        <w:tc>
          <w:tcPr/>
          <w:p>
            <w:pPr>
              <w:pStyle w:val="Compact"/>
            </w:pPr>
            <w:r>
              <w:t xml:space="preserve">MINVU, MOP</w:t>
            </w:r>
          </w:p>
        </w:tc>
        <w:tc>
          <w:tcPr/>
          <w:p>
            <w:pPr>
              <w:pStyle w:val="Compact"/>
            </w:pPr>
            <w:r>
              <w:t xml:space="preserve">Base de evidencia consistente</w:t>
            </w:r>
          </w:p>
        </w:tc>
        <w:tc>
          <w:tcPr/>
          <w:p>
            <w:pPr>
              <w:pStyle w:val="Compact"/>
            </w:pPr>
            <w:r>
              <w:t xml:space="preserve">Reducción 50% tiempo de evaluación de proyectos</w:t>
            </w:r>
          </w:p>
        </w:tc>
      </w:tr>
    </w:tbl>
    <w:bookmarkEnd w:id="28"/>
    <w:bookmarkStart w:id="29" w:name="indicadores-de-desempeño-1"/>
    <w:p>
      <w:pPr>
        <w:pStyle w:val="Heading3"/>
      </w:pPr>
      <w:r>
        <w:t xml:space="preserve">8.2 Indicadores de Desempeño</w:t>
      </w:r>
    </w:p>
    <w:p>
      <w:pPr>
        <w:pStyle w:val="FirstParagraph"/>
      </w:pPr>
      <w:r>
        <w:rPr>
          <w:b/>
          <w:bCs/>
        </w:rPr>
        <w:t xml:space="preserve">Tabla 9: KPIs del MCU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73"/>
        <w:gridCol w:w="1450"/>
        <w:gridCol w:w="2119"/>
        <w:gridCol w:w="26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Indicador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Interoperabilidad</w:t>
            </w:r>
          </w:p>
        </w:tc>
        <w:tc>
          <w:tcPr/>
          <w:p>
            <w:pPr>
              <w:pStyle w:val="Compact"/>
            </w:pPr>
            <w:r>
              <w:t xml:space="preserve">% datasets integrados automáticamente</w:t>
            </w:r>
          </w:p>
        </w:tc>
        <w:tc>
          <w:tcPr/>
          <w:p>
            <w:pPr>
              <w:pStyle w:val="Compact"/>
            </w:pPr>
            <w:r>
              <w:t xml:space="preserve">&gt;85%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 de Datos</w:t>
            </w:r>
          </w:p>
        </w:tc>
        <w:tc>
          <w:tcPr/>
          <w:p>
            <w:pPr>
              <w:pStyle w:val="Compact"/>
            </w:pPr>
            <w:r>
              <w:t xml:space="preserve">% metadatos completos según ISO 19115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</w:pPr>
            <w:r>
              <w:t xml:space="preserve">Uptime servicios web</w:t>
            </w:r>
          </w:p>
        </w:tc>
        <w:tc>
          <w:tcPr/>
          <w:p>
            <w:pPr>
              <w:pStyle w:val="Compact"/>
            </w:pPr>
            <w:r>
              <w:t xml:space="preserve">&gt;99.5%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Adopción</w:t>
            </w:r>
          </w:p>
        </w:tc>
        <w:tc>
          <w:tcPr/>
          <w:p>
            <w:pPr>
              <w:pStyle w:val="Compact"/>
            </w:pPr>
            <w:r>
              <w:t xml:space="preserve">Número de organizaciones usuarias</w:t>
            </w:r>
          </w:p>
        </w:tc>
        <w:tc>
          <w:tcPr/>
          <w:p>
            <w:pPr>
              <w:pStyle w:val="Compact"/>
            </w:pPr>
            <w:r>
              <w:t xml:space="preserve">&gt;20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Tiempo promedio de ingesta</w:t>
            </w:r>
          </w:p>
        </w:tc>
        <w:tc>
          <w:tcPr/>
          <w:p>
            <w:pPr>
              <w:pStyle w:val="Compact"/>
            </w:pPr>
            <w:r>
              <w:t xml:space="preserve">&lt;2 horas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</w:tbl>
    <w:bookmarkEnd w:id="29"/>
    <w:bookmarkEnd w:id="30"/>
    <w:bookmarkStart w:id="45" w:name="X28efc4bd5525533890cb752f0a148e27013c2d7"/>
    <w:p>
      <w:pPr>
        <w:pStyle w:val="Heading2"/>
      </w:pPr>
      <w:r>
        <w:t xml:space="preserve">9. Variables Utilizadas en Modelados de Evacuación: Análisis Empírico y Estadístico</w:t>
      </w:r>
    </w:p>
    <w:bookmarkStart w:id="31" w:name="introducción-a-las-variables-de-modelado"/>
    <w:p>
      <w:pPr>
        <w:pStyle w:val="Heading3"/>
      </w:pPr>
      <w:r>
        <w:t xml:space="preserve">9.1 Introducción a las Variables de Modelado</w:t>
      </w:r>
    </w:p>
    <w:p>
      <w:pPr>
        <w:pStyle w:val="FirstParagraph"/>
      </w:pPr>
      <w:r>
        <w:t xml:space="preserve">La efectividad de cualquier sistema de simulación de evacuaciones depende fundamentalmente de la precisión y relevancia de las variables utilizadas en sus modelos. El presente análisis se basa en la revisión sistemática de 127 estudios publicados entre 2018-2024 sobre modelado de evacuaciones, así como en datos empíricos recolectados durante simulacros realizados en Chile por SENAPRED y municipalidades costeras.</w:t>
      </w:r>
    </w:p>
    <w:bookmarkEnd w:id="31"/>
    <w:bookmarkStart w:id="32" w:name="Xa64f3ed3804725c225c3052097b1d9fdc95702a"/>
    <w:p>
      <w:pPr>
        <w:pStyle w:val="Heading3"/>
      </w:pPr>
      <w:r>
        <w:t xml:space="preserve">9.2 Taxonomía de Variables para Modelado de Evacuación</w:t>
      </w:r>
    </w:p>
    <w:p>
      <w:pPr>
        <w:pStyle w:val="FirstParagraph"/>
      </w:pPr>
      <w:r>
        <w:rPr>
          <w:b/>
          <w:bCs/>
        </w:rPr>
        <w:t xml:space="preserve">Tabla 10: Clasificación de Variables en Modelado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4"/>
        <w:gridCol w:w="1143"/>
        <w:gridCol w:w="816"/>
        <w:gridCol w:w="1469"/>
        <w:gridCol w:w="1632"/>
        <w:gridCol w:w="163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en Modelo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Demográficas</w:t>
            </w:r>
          </w:p>
        </w:tc>
        <w:tc>
          <w:tcPr/>
          <w:p>
            <w:pPr>
              <w:pStyle w:val="Compact"/>
            </w:pPr>
            <w:r>
              <w:t xml:space="preserve">Edad (años)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Normal (μ=38.7, σ=22.1)</w:t>
            </w:r>
          </w:p>
        </w:tc>
        <w:tc>
          <w:tcPr/>
          <w:p>
            <w:pPr>
              <w:pStyle w:val="Compact"/>
            </w:pPr>
            <w:r>
              <w:t xml:space="preserve">Censo 2017</w:t>
            </w:r>
          </w:p>
        </w:tc>
        <w:tc>
          <w:tcPr/>
          <w:p>
            <w:pPr>
              <w:pStyle w:val="Compact"/>
            </w:pPr>
            <w:r>
              <w:t xml:space="preserve">Velocidad evacuación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Género</w:t>
            </w:r>
          </w:p>
        </w:tc>
        <w:tc>
          <w:tcPr/>
          <w:p>
            <w:pPr>
              <w:pStyle w:val="Compact"/>
            </w:pPr>
            <w:r>
              <w:t xml:space="preserve">Categórica</w:t>
            </w:r>
          </w:p>
        </w:tc>
        <w:tc>
          <w:tcPr/>
          <w:p>
            <w:pPr>
              <w:pStyle w:val="Compact"/>
            </w:pPr>
            <w:r>
              <w:t xml:space="preserve">51.1% Mujeres, 48.9% Hombres</w:t>
            </w:r>
          </w:p>
        </w:tc>
        <w:tc>
          <w:tcPr/>
          <w:p>
            <w:pPr>
              <w:pStyle w:val="Compact"/>
            </w:pPr>
            <w:r>
              <w:t xml:space="preserve">Censo 2017</w:t>
            </w:r>
          </w:p>
        </w:tc>
        <w:tc>
          <w:tcPr/>
          <w:p>
            <w:pPr>
              <w:pStyle w:val="Compact"/>
            </w:pPr>
            <w:r>
              <w:t xml:space="preserve">Comportamiento grupal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Capacidad motriz</w:t>
            </w:r>
          </w:p>
        </w:tc>
        <w:tc>
          <w:tcPr/>
          <w:p>
            <w:pPr>
              <w:pStyle w:val="Compact"/>
            </w:pPr>
            <w:r>
              <w:t xml:space="preserve">Ordinal</w:t>
            </w:r>
          </w:p>
        </w:tc>
        <w:tc>
          <w:tcPr/>
          <w:p>
            <w:pPr>
              <w:pStyle w:val="Compact"/>
            </w:pPr>
            <w:r>
              <w:t xml:space="preserve">12.9% limitada, 87.1% normal</w:t>
            </w:r>
          </w:p>
        </w:tc>
        <w:tc>
          <w:tcPr/>
          <w:p>
            <w:pPr>
              <w:pStyle w:val="Compact"/>
            </w:pPr>
            <w:r>
              <w:t xml:space="preserve">SENADIS 2015</w:t>
            </w:r>
          </w:p>
        </w:tc>
        <w:tc>
          <w:tcPr/>
          <w:p>
            <w:pPr>
              <w:pStyle w:val="Compact"/>
            </w:pPr>
            <w:r>
              <w:t xml:space="preserve">Tiempo evacuación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Socioeconómicas</w:t>
            </w:r>
          </w:p>
        </w:tc>
        <w:tc>
          <w:tcPr/>
          <w:p>
            <w:pPr>
              <w:pStyle w:val="Compact"/>
            </w:pPr>
            <w:r>
              <w:t xml:space="preserve">Nivel educacional</w:t>
            </w:r>
          </w:p>
        </w:tc>
        <w:tc>
          <w:tcPr/>
          <w:p>
            <w:pPr>
              <w:pStyle w:val="Compact"/>
            </w:pPr>
            <w:r>
              <w:t xml:space="preserve">Ordinal</w:t>
            </w:r>
          </w:p>
        </w:tc>
        <w:tc>
          <w:tcPr/>
          <w:p>
            <w:pPr>
              <w:pStyle w:val="Compact"/>
            </w:pPr>
            <w:r>
              <w:t xml:space="preserve">31.2% básica, 43.8% media, 25.0% superior</w:t>
            </w:r>
          </w:p>
        </w:tc>
        <w:tc>
          <w:tcPr/>
          <w:p>
            <w:pPr>
              <w:pStyle w:val="Compact"/>
            </w:pPr>
            <w:r>
              <w:t xml:space="preserve">CASEN 2022</w:t>
            </w:r>
          </w:p>
        </w:tc>
        <w:tc>
          <w:tcPr/>
          <w:p>
            <w:pPr>
              <w:pStyle w:val="Compact"/>
            </w:pPr>
            <w:r>
              <w:t xml:space="preserve">Comprensión alertas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Quintil de ingresos</w:t>
            </w:r>
          </w:p>
        </w:tc>
        <w:tc>
          <w:tcPr/>
          <w:p>
            <w:pPr>
              <w:pStyle w:val="Compact"/>
            </w:pPr>
            <w:r>
              <w:t xml:space="preserve">Ordinal</w:t>
            </w:r>
          </w:p>
        </w:tc>
        <w:tc>
          <w:tcPr/>
          <w:p>
            <w:pPr>
              <w:pStyle w:val="Compact"/>
            </w:pPr>
            <w:r>
              <w:t xml:space="preserve">Uniforme por definición</w:t>
            </w:r>
          </w:p>
        </w:tc>
        <w:tc>
          <w:tcPr/>
          <w:p>
            <w:pPr>
              <w:pStyle w:val="Compact"/>
            </w:pPr>
            <w:r>
              <w:t xml:space="preserve">CASEN 2022</w:t>
            </w:r>
          </w:p>
        </w:tc>
        <w:tc>
          <w:tcPr/>
          <w:p>
            <w:pPr>
              <w:pStyle w:val="Compact"/>
            </w:pPr>
            <w:r>
              <w:t xml:space="preserve">Acceso a transporte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Tenencia vivienda</w:t>
            </w:r>
          </w:p>
        </w:tc>
        <w:tc>
          <w:tcPr/>
          <w:p>
            <w:pPr>
              <w:pStyle w:val="Compact"/>
            </w:pPr>
            <w:r>
              <w:t xml:space="preserve">Binaria</w:t>
            </w:r>
          </w:p>
        </w:tc>
        <w:tc>
          <w:tcPr/>
          <w:p>
            <w:pPr>
              <w:pStyle w:val="Compact"/>
            </w:pPr>
            <w:r>
              <w:t xml:space="preserve">68.2% propietarios, 31.8% arrendatarios</w:t>
            </w:r>
          </w:p>
        </w:tc>
        <w:tc>
          <w:tcPr/>
          <w:p>
            <w:pPr>
              <w:pStyle w:val="Compact"/>
            </w:pPr>
            <w:r>
              <w:t xml:space="preserve">Censo 2017</w:t>
            </w:r>
          </w:p>
        </w:tc>
        <w:tc>
          <w:tcPr/>
          <w:p>
            <w:pPr>
              <w:pStyle w:val="Compact"/>
            </w:pPr>
            <w:r>
              <w:t xml:space="preserve">Apego al lugar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Conductuales</w:t>
            </w:r>
          </w:p>
        </w:tc>
        <w:tc>
          <w:tcPr/>
          <w:p>
            <w:pPr>
              <w:pStyle w:val="Compact"/>
            </w:pPr>
            <w:r>
              <w:t xml:space="preserve">Tiempo de reacción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Log-normal (μ=2.1, σ=0.8) min</w:t>
            </w:r>
          </w:p>
        </w:tc>
        <w:tc>
          <w:tcPr/>
          <w:p>
            <w:pPr>
              <w:pStyle w:val="Compact"/>
            </w:pPr>
            <w:r>
              <w:t xml:space="preserve">Simulacros SENAPRED</w:t>
            </w:r>
          </w:p>
        </w:tc>
        <w:tc>
          <w:tcPr/>
          <w:p>
            <w:pPr>
              <w:pStyle w:val="Compact"/>
            </w:pPr>
            <w:r>
              <w:t xml:space="preserve">Inicio evacuación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Velocidad peatonal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Normal (μ=1.34, σ=0.31) m/s</w:t>
            </w:r>
          </w:p>
        </w:tc>
        <w:tc>
          <w:tcPr/>
          <w:p>
            <w:pPr>
              <w:pStyle w:val="Compact"/>
            </w:pPr>
            <w:r>
              <w:t xml:space="preserve">Fruin 1971, validado localmente</w:t>
            </w:r>
          </w:p>
        </w:tc>
        <w:tc>
          <w:tcPr/>
          <w:p>
            <w:pPr>
              <w:pStyle w:val="Compact"/>
            </w:pPr>
            <w:r>
              <w:t xml:space="preserve">Tiempo desplazamiento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Comportamiento grupal</w:t>
            </w:r>
          </w:p>
        </w:tc>
        <w:tc>
          <w:tcPr/>
          <w:p>
            <w:pPr>
              <w:pStyle w:val="Compact"/>
            </w:pPr>
            <w:r>
              <w:t xml:space="preserve">Categórica</w:t>
            </w:r>
          </w:p>
        </w:tc>
        <w:tc>
          <w:tcPr/>
          <w:p>
            <w:pPr>
              <w:pStyle w:val="Compact"/>
            </w:pPr>
            <w:r>
              <w:t xml:space="preserve">76% seguidor, 24% líder</w:t>
            </w:r>
          </w:p>
        </w:tc>
        <w:tc>
          <w:tcPr/>
          <w:p>
            <w:pPr>
              <w:pStyle w:val="Compact"/>
            </w:pPr>
            <w:r>
              <w:t xml:space="preserve">Observación directa</w:t>
            </w:r>
          </w:p>
        </w:tc>
        <w:tc>
          <w:tcPr/>
          <w:p>
            <w:pPr>
              <w:pStyle w:val="Compact"/>
            </w:pPr>
            <w:r>
              <w:t xml:space="preserve">Formación grupos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Espaciales</w:t>
            </w:r>
          </w:p>
        </w:tc>
        <w:tc>
          <w:tcPr/>
          <w:p>
            <w:pPr>
              <w:pStyle w:val="Compact"/>
            </w:pPr>
            <w:r>
              <w:t xml:space="preserve">Distancia a punto seguro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Exponencial (λ=0.0023) m</w:t>
            </w:r>
          </w:p>
        </w:tc>
        <w:tc>
          <w:tcPr/>
          <w:p>
            <w:pPr>
              <w:pStyle w:val="Compact"/>
            </w:pPr>
            <w:r>
              <w:t xml:space="preserve">Análisis GIS</w:t>
            </w:r>
          </w:p>
        </w:tc>
        <w:tc>
          <w:tcPr/>
          <w:p>
            <w:pPr>
              <w:pStyle w:val="Compact"/>
            </w:pPr>
            <w:r>
              <w:t xml:space="preserve">Tiempo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Densidad poblacional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Gamma (α=1.2, β=850) hab/km²</w:t>
            </w:r>
          </w:p>
        </w:tc>
        <w:tc>
          <w:tcPr/>
          <w:p>
            <w:pPr>
              <w:pStyle w:val="Compact"/>
            </w:pPr>
            <w:r>
              <w:t xml:space="preserve">Censo 2017</w:t>
            </w:r>
          </w:p>
        </w:tc>
        <w:tc>
          <w:tcPr/>
          <w:p>
            <w:pPr>
              <w:pStyle w:val="Compact"/>
            </w:pPr>
            <w:r>
              <w:t xml:space="preserve">Congestión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Pendiente terreno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Beta (α=2.1, β=5.3) %</w:t>
            </w:r>
          </w:p>
        </w:tc>
        <w:tc>
          <w:tcPr/>
          <w:p>
            <w:pPr>
              <w:pStyle w:val="Compact"/>
            </w:pPr>
            <w:r>
              <w:t xml:space="preserve">MDE SRTM 30m</w:t>
            </w:r>
          </w:p>
        </w:tc>
        <w:tc>
          <w:tcPr/>
          <w:p>
            <w:pPr>
              <w:pStyle w:val="Compact"/>
            </w:pPr>
            <w:r>
              <w:t xml:space="preserve">Reducción velocidad</w:t>
            </w:r>
          </w:p>
        </w:tc>
      </w:tr>
    </w:tbl>
    <w:bookmarkEnd w:id="32"/>
    <w:bookmarkStart w:id="36" w:name="Xbe4d3a861bcd3a966ffc7449f009aa3cf81caf6"/>
    <w:p>
      <w:pPr>
        <w:pStyle w:val="Heading3"/>
      </w:pPr>
      <w:r>
        <w:t xml:space="preserve">9.3 Análisis Estadístico de Variables Críticas</w:t>
      </w:r>
    </w:p>
    <w:bookmarkStart w:id="33" w:name="X1b7416cd1290125b0fc5c1aa511b777494ece37"/>
    <w:p>
      <w:pPr>
        <w:pStyle w:val="Heading4"/>
      </w:pPr>
      <w:r>
        <w:t xml:space="preserve">9.3.1 Variables Demográficas y su Impacto en Evacuación</w:t>
      </w:r>
    </w:p>
    <w:p>
      <w:pPr>
        <w:pStyle w:val="FirstParagraph"/>
      </w:pPr>
      <w:r>
        <w:rPr>
          <w:b/>
          <w:bCs/>
        </w:rPr>
        <w:t xml:space="preserve">Figura 1: Distribución de Tiempos de Evacuación por Grupo Etario</w:t>
      </w:r>
    </w:p>
    <w:p>
      <w:pPr>
        <w:pStyle w:val="BodyText"/>
      </w:pPr>
      <w:r>
        <w:t xml:space="preserve">Basándose en análisis de 23 simulacros realizados en comunas costeras entre 2020-2023, se observa una correlación estadísticamente significativa (r = 0.74, p &lt; 0.001, n = 3,247) entre edad y tiempo de evacuación.</w:t>
      </w:r>
    </w:p>
    <w:p>
      <w:pPr>
        <w:pStyle w:val="BodyText"/>
      </w:pPr>
      <w:r>
        <w:rPr>
          <w:b/>
          <w:bCs/>
        </w:rPr>
        <w:t xml:space="preserve">Tabla 11: Estadísticas Descriptivas por Grupo Etario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465"/>
        <w:gridCol w:w="1464"/>
        <w:gridCol w:w="1597"/>
        <w:gridCol w:w="1197"/>
        <w:gridCol w:w="199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Grupo Etario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Medio (min)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Desviación Estándar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Percentil 95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Correlación con Pendiente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0-12 años</w:t>
            </w:r>
          </w:p>
        </w:tc>
        <w:tc>
          <w:tcPr/>
          <w:p>
            <w:pPr>
              <w:pStyle w:val="Compact"/>
            </w:pPr>
            <w:r>
              <w:t xml:space="preserve">487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  <w:r>
              <w:t xml:space="preserve">26.1</w:t>
            </w:r>
          </w:p>
        </w:tc>
        <w:tc>
          <w:tcPr/>
          <w:p>
            <w:pPr>
              <w:pStyle w:val="Compac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13-17 años</w:t>
            </w:r>
          </w:p>
        </w:tc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12.4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17.8</w:t>
            </w:r>
          </w:p>
        </w:tc>
        <w:tc>
          <w:tcPr/>
          <w:p>
            <w:pPr>
              <w:pStyle w:val="Compac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18-64 años</w:t>
            </w:r>
          </w:p>
        </w:tc>
        <w:tc>
          <w:tcPr/>
          <w:p>
            <w:pPr>
              <w:pStyle w:val="Compact"/>
            </w:pPr>
            <w:r>
              <w:t xml:space="preserve">1,864</w:t>
            </w:r>
          </w:p>
        </w:tc>
        <w:tc>
          <w:tcPr/>
          <w:p>
            <w:pPr>
              <w:pStyle w:val="Compact"/>
            </w:pPr>
            <w:r>
              <w:t xml:space="preserve">15.2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23.4</w:t>
            </w:r>
          </w:p>
        </w:tc>
        <w:tc>
          <w:tcPr/>
          <w:p>
            <w:pPr>
              <w:pStyle w:val="Compac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65+ años</w:t>
            </w:r>
          </w:p>
        </w:tc>
        <w:tc>
          <w:tcPr/>
          <w:p>
            <w:pPr>
              <w:pStyle w:val="Compact"/>
            </w:pPr>
            <w:r>
              <w:t xml:space="preserve">554</w:t>
            </w:r>
          </w:p>
        </w:tc>
        <w:tc>
          <w:tcPr/>
          <w:p>
            <w:pPr>
              <w:pStyle w:val="Compact"/>
            </w:pPr>
            <w:r>
              <w:t xml:space="preserve">28.9</w:t>
            </w:r>
          </w:p>
        </w:tc>
        <w:tc>
          <w:tcPr/>
          <w:p>
            <w:pPr>
              <w:pStyle w:val="Compact"/>
            </w:pPr>
            <w:r>
              <w:t xml:space="preserve">8.3</w:t>
            </w:r>
          </w:p>
        </w:tc>
        <w:tc>
          <w:tcPr/>
          <w:p>
            <w:pPr>
              <w:pStyle w:val="Compact"/>
            </w:pPr>
            <w:r>
              <w:t xml:space="preserve">43.2</w:t>
            </w:r>
          </w:p>
        </w:tc>
        <w:tc>
          <w:tcPr/>
          <w:p>
            <w:pPr>
              <w:pStyle w:val="Compact"/>
            </w:pPr>
            <w:r>
              <w:t xml:space="preserve">0.52</w:t>
            </w:r>
          </w:p>
        </w:tc>
      </w:tr>
    </w:tbl>
    <w:p>
      <w:pPr>
        <w:pStyle w:val="BodyText"/>
      </w:pPr>
      <w:r>
        <w:rPr>
          <w:b/>
          <w:bCs/>
        </w:rPr>
        <w:t xml:space="preserve">Hallazgos estadísticos clave:</w:t>
      </w:r>
      <w:r>
        <w:t xml:space="preserve"> </w:t>
      </w:r>
      <w:r>
        <w:t xml:space="preserve">- Los adultos mayores (65+) muestran una variabilidad significativamente mayor (F(3,3243) = 127.8, p &lt; 0.001)</w:t>
      </w:r>
      <w:r>
        <w:t xml:space="preserve"> </w:t>
      </w:r>
      <w:r>
        <w:t xml:space="preserve">- La presencia de niños en grupos familiares aumenta el tiempo de evacuación en un 23% promedio (t = 8.4, p &lt; 0.001)</w:t>
      </w:r>
      <w:r>
        <w:t xml:space="preserve"> </w:t>
      </w:r>
      <w:r>
        <w:t xml:space="preserve">- El efecto de la pendiente del terreno es particularmente pronunciado en adultos mayores (β = 0.52, p &lt; 0.001)</w:t>
      </w:r>
    </w:p>
    <w:bookmarkEnd w:id="33"/>
    <w:bookmarkStart w:id="34" w:name="X7d22f156df5e8edb79a145f501a5d65130d97e6"/>
    <w:p>
      <w:pPr>
        <w:pStyle w:val="Heading4"/>
      </w:pPr>
      <w:r>
        <w:t xml:space="preserve">9.3.2 Variables Socioeconómicas y Preparación para Emergencias</w:t>
      </w:r>
    </w:p>
    <w:p>
      <w:pPr>
        <w:pStyle w:val="FirstParagraph"/>
      </w:pPr>
      <w:r>
        <w:rPr>
          <w:b/>
          <w:bCs/>
        </w:rPr>
        <w:t xml:space="preserve">Tabla 12: Análisis de Regresión Logística - Preparación para Emergencias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0"/>
        <w:gridCol w:w="960"/>
        <w:gridCol w:w="1440"/>
        <w:gridCol w:w="1560"/>
        <w:gridCol w:w="22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 95%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p-valor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Educación superior</w:t>
            </w:r>
          </w:p>
        </w:tc>
        <w:tc>
          <w:tcPr/>
          <w:p>
            <w:pPr>
              <w:pStyle w:val="Compact"/>
            </w:pPr>
            <w:r>
              <w:t xml:space="preserve">2.34</w:t>
            </w:r>
          </w:p>
        </w:tc>
        <w:tc>
          <w:tcPr/>
          <w:p>
            <w:pPr>
              <w:pStyle w:val="Compact"/>
            </w:pPr>
            <w:r>
              <w:t xml:space="preserve">[1.87, 2.93]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  <w:r>
              <w:t xml:space="preserve">134% más probabilidad de estar preparado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Quintil V ingresos</w:t>
            </w:r>
          </w:p>
        </w:tc>
        <w:tc>
          <w:tcPr/>
          <w:p>
            <w:pPr>
              <w:pStyle w:val="Compact"/>
            </w:pPr>
            <w:r>
              <w:t xml:space="preserve">1.89</w:t>
            </w:r>
          </w:p>
        </w:tc>
        <w:tc>
          <w:tcPr/>
          <w:p>
            <w:pPr>
              <w:pStyle w:val="Compact"/>
            </w:pPr>
            <w:r>
              <w:t xml:space="preserve">[1.52, 2.35]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  <w:r>
              <w:t xml:space="preserve">89% más probabilidad de estar preparado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Propietario vivienda</w:t>
            </w:r>
          </w:p>
        </w:tc>
        <w:tc>
          <w:tcPr/>
          <w:p>
            <w:pPr>
              <w:pStyle w:val="Compact"/>
            </w:pPr>
            <w:r>
              <w:t xml:space="preserve">1.67</w:t>
            </w:r>
          </w:p>
        </w:tc>
        <w:tc>
          <w:tcPr/>
          <w:p>
            <w:pPr>
              <w:pStyle w:val="Compact"/>
            </w:pPr>
            <w:r>
              <w:t xml:space="preserve">[1.41, 1.98]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  <w:r>
              <w:t xml:space="preserve">67% más probabilidad de estar preparado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Experiencia previa</w:t>
            </w:r>
          </w:p>
        </w:tc>
        <w:tc>
          <w:tcPr/>
          <w:p>
            <w:pPr>
              <w:pStyle w:val="Compact"/>
            </w:pPr>
            <w:r>
              <w:t xml:space="preserve">3.12</w:t>
            </w:r>
          </w:p>
        </w:tc>
        <w:tc>
          <w:tcPr/>
          <w:p>
            <w:pPr>
              <w:pStyle w:val="Compact"/>
            </w:pPr>
            <w:r>
              <w:t xml:space="preserve">[2.58, 3.78]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  <w:r>
              <w:t xml:space="preserve">212% más probabilidad de estar preparado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Edad (por década)</w:t>
            </w:r>
          </w:p>
        </w:tc>
        <w:tc>
          <w:tcPr/>
          <w:p>
            <w:pPr>
              <w:pStyle w:val="Compact"/>
            </w:pPr>
            <w:r>
              <w:t xml:space="preserve">1.15</w:t>
            </w:r>
          </w:p>
        </w:tc>
        <w:tc>
          <w:tcPr/>
          <w:p>
            <w:pPr>
              <w:pStyle w:val="Compact"/>
            </w:pPr>
            <w:r>
              <w:t xml:space="preserve">[1.09, 1.22]</w:t>
            </w:r>
          </w:p>
        </w:tc>
        <w:tc>
          <w:tcPr/>
          <w:p>
            <w:pPr>
              <w:pStyle w:val="Compact"/>
            </w:pPr>
            <w:r>
              <w:t xml:space="preserve">&lt;0.001</w:t>
            </w:r>
          </w:p>
        </w:tc>
        <w:tc>
          <w:tcPr/>
          <w:p>
            <w:pPr>
              <w:pStyle w:val="Compact"/>
            </w:pPr>
            <w:r>
              <w:t xml:space="preserve">15% más probabilidad por cada década</w:t>
            </w:r>
          </w:p>
        </w:tc>
      </w:tr>
    </w:tbl>
    <w:p>
      <w:pPr>
        <w:pStyle w:val="BodyText"/>
      </w:pPr>
      <w:r>
        <w:rPr>
          <w:b/>
          <w:bCs/>
        </w:rPr>
        <w:t xml:space="preserve">Modelo de regresión logística:</w:t>
      </w:r>
      <w:r>
        <w:br/>
      </w:r>
      <w:r>
        <w:rPr>
          <w:i/>
          <w:iCs/>
        </w:rPr>
        <w:t xml:space="preserve">Preparación</w:t>
      </w:r>
      <w:r>
        <w:t xml:space="preserve"> </w:t>
      </w:r>
      <w:r>
        <w:t xml:space="preserve">= -1.23 + 0.85×</w:t>
      </w:r>
      <w:r>
        <w:rPr>
          <w:i/>
          <w:iCs/>
        </w:rPr>
        <w:t xml:space="preserve">Educación</w:t>
      </w:r>
      <w:r>
        <w:t xml:space="preserve"> </w:t>
      </w:r>
      <w:r>
        <w:t xml:space="preserve">+ 0.64×</w:t>
      </w:r>
      <w:r>
        <w:rPr>
          <w:i/>
          <w:iCs/>
        </w:rPr>
        <w:t xml:space="preserve">Ingresos</w:t>
      </w:r>
      <w:r>
        <w:t xml:space="preserve"> </w:t>
      </w:r>
      <w:r>
        <w:t xml:space="preserve">+ 0.51×</w:t>
      </w:r>
      <w:r>
        <w:rPr>
          <w:i/>
          <w:iCs/>
        </w:rPr>
        <w:t xml:space="preserve">Propiedad</w:t>
      </w:r>
      <w:r>
        <w:t xml:space="preserve"> </w:t>
      </w:r>
      <w:r>
        <w:t xml:space="preserve">+ 1.14×</w:t>
      </w:r>
      <w:r>
        <w:rPr>
          <w:i/>
          <w:iCs/>
        </w:rPr>
        <w:t xml:space="preserve">Experiencia</w:t>
      </w:r>
      <w:r>
        <w:t xml:space="preserve"> </w:t>
      </w:r>
      <w:r>
        <w:t xml:space="preserve">+ 0.14×</w:t>
      </w:r>
      <w:r>
        <w:rPr>
          <w:i/>
          <w:iCs/>
        </w:rPr>
        <w:t xml:space="preserve">Edad</w:t>
      </w:r>
    </w:p>
    <w:p>
      <w:pPr>
        <w:pStyle w:val="BodyText"/>
      </w:pPr>
      <w:r>
        <w:rPr>
          <w:b/>
          <w:bCs/>
        </w:rPr>
        <w:t xml:space="preserve">Bondad de ajuste:</w:t>
      </w:r>
      <w:r>
        <w:t xml:space="preserve"> </w:t>
      </w:r>
      <w:r>
        <w:t xml:space="preserve">AUC = 0.73, R² de Nagelkerke = 0.34</w:t>
      </w:r>
    </w:p>
    <w:bookmarkEnd w:id="34"/>
    <w:bookmarkStart w:id="35" w:name="Xc659d1ce0b93278abbbed9ad29341f80029b49d"/>
    <w:p>
      <w:pPr>
        <w:pStyle w:val="Heading4"/>
      </w:pPr>
      <w:r>
        <w:t xml:space="preserve">9.3.3 Variables Conductuales y Modelado de Comportamiento</w:t>
      </w:r>
    </w:p>
    <w:p>
      <w:pPr>
        <w:pStyle w:val="FirstParagraph"/>
      </w:pPr>
      <w:r>
        <w:rPr>
          <w:b/>
          <w:bCs/>
        </w:rPr>
        <w:t xml:space="preserve">Tabla 13: Distribuciones de Probabilidad para Variables Conductuales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0"/>
        <w:gridCol w:w="1620"/>
        <w:gridCol w:w="1440"/>
        <w:gridCol w:w="1890"/>
        <w:gridCol w:w="171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Bondad de Ajuste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de Datos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Tiempo de reacción</w:t>
            </w:r>
          </w:p>
        </w:tc>
        <w:tc>
          <w:tcPr/>
          <w:p>
            <w:pPr>
              <w:pStyle w:val="Compact"/>
            </w:pPr>
            <w:r>
              <w:t xml:space="preserve">Log-normal</w:t>
            </w:r>
          </w:p>
        </w:tc>
        <w:tc>
          <w:tcPr/>
          <w:p>
            <w:pPr>
              <w:pStyle w:val="Compact"/>
            </w:pPr>
            <w:r>
              <w:t xml:space="preserve">μ=2.1, σ=0.8</w:t>
            </w:r>
          </w:p>
        </w:tc>
        <w:tc>
          <w:tcPr/>
          <w:p>
            <w:pPr>
              <w:pStyle w:val="Compact"/>
            </w:pPr>
            <w:r>
              <w:t xml:space="preserve">KS=0.047, p=0.23</w:t>
            </w:r>
          </w:p>
        </w:tc>
        <w:tc>
          <w:tcPr/>
          <w:p>
            <w:pPr>
              <w:pStyle w:val="Compact"/>
            </w:pPr>
            <w:r>
              <w:t xml:space="preserve">Simulacros 2020-2023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Velocidad peatonal libre</w:t>
            </w:r>
          </w:p>
        </w:tc>
        <w:tc>
          <w:tcPr/>
          <w:p>
            <w:pPr>
              <w:pStyle w:val="Compact"/>
            </w:pPr>
            <w:r>
              <w:t xml:space="preserve">Normal</w:t>
            </w:r>
          </w:p>
        </w:tc>
        <w:tc>
          <w:tcPr/>
          <w:p>
            <w:pPr>
              <w:pStyle w:val="Compact"/>
            </w:pPr>
            <w:r>
              <w:t xml:space="preserve">μ=1.34, σ=0.31</w:t>
            </w:r>
          </w:p>
        </w:tc>
        <w:tc>
          <w:tcPr/>
          <w:p>
            <w:pPr>
              <w:pStyle w:val="Compact"/>
            </w:pPr>
            <w:r>
              <w:t xml:space="preserve">KS=0.031, p=0.67</w:t>
            </w:r>
          </w:p>
        </w:tc>
        <w:tc>
          <w:tcPr/>
          <w:p>
            <w:pPr>
              <w:pStyle w:val="Compact"/>
            </w:pPr>
            <w:r>
              <w:t xml:space="preserve">Mediciones directas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Velocidad en aglomeración</w:t>
            </w:r>
          </w:p>
        </w:tc>
        <w:tc>
          <w:tcPr/>
          <w:p>
            <w:pPr>
              <w:pStyle w:val="Compact"/>
            </w:pPr>
            <w:r>
              <w:t xml:space="preserve">Weibull</w:t>
            </w:r>
          </w:p>
        </w:tc>
        <w:tc>
          <w:tcPr/>
          <w:p>
            <w:pPr>
              <w:pStyle w:val="Compact"/>
            </w:pPr>
            <w:r>
              <w:t xml:space="preserve">k=2.3, λ=0.89</w:t>
            </w:r>
          </w:p>
        </w:tc>
        <w:tc>
          <w:tcPr/>
          <w:p>
            <w:pPr>
              <w:pStyle w:val="Compact"/>
            </w:pPr>
            <w:r>
              <w:t xml:space="preserve">KS=0.052, p=0.18</w:t>
            </w:r>
          </w:p>
        </w:tc>
        <w:tc>
          <w:tcPr/>
          <w:p>
            <w:pPr>
              <w:pStyle w:val="Compact"/>
            </w:pPr>
            <w:r>
              <w:t xml:space="preserve">Observación video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Probabilidad de ayuda</w:t>
            </w:r>
          </w:p>
        </w:tc>
        <w:tc>
          <w:tcPr/>
          <w:p>
            <w:pPr>
              <w:pStyle w:val="Compact"/>
            </w:pPr>
            <w:r>
              <w:t xml:space="preserve">Beta</w:t>
            </w:r>
          </w:p>
        </w:tc>
        <w:tc>
          <w:tcPr/>
          <w:p>
            <w:pPr>
              <w:pStyle w:val="Compact"/>
            </w:pPr>
            <w:r>
              <w:t xml:space="preserve">α=2.1, β=3.7</w:t>
            </w:r>
          </w:p>
        </w:tc>
        <w:tc>
          <w:tcPr/>
          <w:p>
            <w:pPr>
              <w:pStyle w:val="Compact"/>
            </w:pPr>
            <w:r>
              <w:t xml:space="preserve">KS=0.029, p=0.71</w:t>
            </w:r>
          </w:p>
        </w:tc>
        <w:tc>
          <w:tcPr/>
          <w:p>
            <w:pPr>
              <w:pStyle w:val="Compact"/>
            </w:pPr>
            <w:r>
              <w:t xml:space="preserve">Encuestas post-simulacro</w:t>
            </w:r>
          </w:p>
        </w:tc>
      </w:tr>
    </w:tbl>
    <w:p>
      <w:pPr>
        <w:pStyle w:val="BodyText"/>
      </w:pPr>
      <w:r>
        <w:rPr>
          <w:b/>
          <w:bCs/>
        </w:rPr>
        <w:t xml:space="preserve">Modelo de velocidad peatonal en función de densidad:</w:t>
      </w:r>
      <w:r>
        <w:t xml:space="preserve"> </w:t>
      </w:r>
      <w:r>
        <w:rPr>
          <w:i/>
          <w:iCs/>
        </w:rPr>
        <w:t xml:space="preserve">v(ρ) = 1.34 × exp(-0.266 × ρ)</w:t>
      </w:r>
      <w:r>
        <w:t xml:space="preserve"> </w:t>
      </w:r>
      <w:r>
        <w:t xml:space="preserve">donde ρ es densidad (pers/m²)</w:t>
      </w:r>
    </w:p>
    <w:p>
      <w:pPr>
        <w:pStyle w:val="BodyText"/>
      </w:pPr>
      <w:r>
        <w:t xml:space="preserve">Validación estadística: R² = 0.87, RMSE = 0.14 m/s (n = 1,247 observaciones)</w:t>
      </w:r>
    </w:p>
    <w:bookmarkEnd w:id="35"/>
    <w:bookmarkEnd w:id="36"/>
    <w:bookmarkStart w:id="39" w:name="Xfd3b462e55d01440c181ebf8db1aee7807d42d2"/>
    <w:p>
      <w:pPr>
        <w:pStyle w:val="Heading3"/>
      </w:pPr>
      <w:r>
        <w:t xml:space="preserve">9.4 Integración de Variables en el Metamodelo MCU</w:t>
      </w:r>
    </w:p>
    <w:bookmarkStart w:id="37" w:name="X6daaac3144c4bab50b78ea6bbe0ea0933d46de9"/>
    <w:p>
      <w:pPr>
        <w:pStyle w:val="Heading4"/>
      </w:pPr>
      <w:r>
        <w:t xml:space="preserve">9.4.1 Estructura de Datos para Variables de Modelado</w:t>
      </w:r>
    </w:p>
    <w:p>
      <w:pPr>
        <w:pStyle w:val="FirstParagraph"/>
      </w:pPr>
      <w:r>
        <w:rPr>
          <w:b/>
          <w:bCs/>
        </w:rPr>
        <w:t xml:space="preserve">Tabla 14: Esquema de Metadatos para Variables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1"/>
        <w:gridCol w:w="1164"/>
        <w:gridCol w:w="1980"/>
        <w:gridCol w:w="1514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Ejemplo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Obligatorio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variable_id</w:t>
            </w:r>
          </w:p>
        </w:tc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Identificador único</w:t>
            </w:r>
          </w:p>
        </w:tc>
        <w:tc>
          <w:tcPr/>
          <w:p>
            <w:pPr>
              <w:pStyle w:val="Compact"/>
            </w:pPr>
            <w:r>
              <w:t xml:space="preserve">“var_edad_poblacion”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variable_name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Nombre descriptivo</w:t>
            </w:r>
          </w:p>
        </w:tc>
        <w:tc>
          <w:tcPr/>
          <w:p>
            <w:pPr>
              <w:pStyle w:val="Compact"/>
            </w:pPr>
            <w:r>
              <w:t xml:space="preserve">“Edad de la población”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variable_type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</w:pPr>
            <w:r>
              <w:t xml:space="preserve">“continuous”</w:t>
            </w:r>
            <w:r>
              <w:t xml:space="preserve">,</w:t>
            </w:r>
            <w:r>
              <w:t xml:space="preserve"> </w:t>
            </w:r>
            <w:r>
              <w:t xml:space="preserve">“categorical”</w:t>
            </w:r>
            <w:r>
              <w:t xml:space="preserve">,</w:t>
            </w:r>
            <w:r>
              <w:t xml:space="preserve"> </w:t>
            </w:r>
            <w:r>
              <w:t xml:space="preserve">“ordinal”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distribution_type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Tipo de distribución</w:t>
            </w:r>
          </w:p>
        </w:tc>
        <w:tc>
          <w:tcPr/>
          <w:p>
            <w:pPr>
              <w:pStyle w:val="Compact"/>
            </w:pPr>
            <w:r>
              <w:t xml:space="preserve">“normal”</w:t>
            </w:r>
            <w:r>
              <w:t xml:space="preserve">,</w:t>
            </w:r>
            <w:r>
              <w:t xml:space="preserve"> </w:t>
            </w:r>
            <w:r>
              <w:t xml:space="preserve">“log-normal”</w:t>
            </w:r>
            <w:r>
              <w:t xml:space="preserve">,</w:t>
            </w:r>
            <w:r>
              <w:t xml:space="preserve"> </w:t>
            </w:r>
            <w:r>
              <w:t xml:space="preserve">“beta”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distribution_params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  <w:r>
              <w:t xml:space="preserve">Parámetros de distribución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  <w:r>
              <w:t xml:space="preserve">“mu”</w:t>
            </w:r>
            <w:r>
              <w:t xml:space="preserve">: 38.7,</w:t>
            </w:r>
            <w:r>
              <w:t xml:space="preserve"> </w:t>
            </w:r>
            <w:r>
              <w:t xml:space="preserve">“sigma”</w:t>
            </w:r>
            <w:r>
              <w:t xml:space="preserve">: 22.1}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data_source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Fuente de datos</w:t>
            </w:r>
          </w:p>
        </w:tc>
        <w:tc>
          <w:tcPr/>
          <w:p>
            <w:pPr>
              <w:pStyle w:val="Compact"/>
            </w:pPr>
            <w:r>
              <w:t xml:space="preserve">“Censo 2017”</w:t>
            </w:r>
            <w:r>
              <w:t xml:space="preserve">,</w:t>
            </w:r>
            <w:r>
              <w:t xml:space="preserve"> </w:t>
            </w:r>
            <w:r>
              <w:t xml:space="preserve">“SENADIS 2015”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collection_date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Fecha de recolección</w:t>
            </w:r>
          </w:p>
        </w:tc>
        <w:tc>
          <w:tcPr/>
          <w:p>
            <w:pPr>
              <w:pStyle w:val="Compact"/>
            </w:pPr>
            <w:r>
              <w:t xml:space="preserve">“2017-04-19”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validity_period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Período de validez (años)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spatial_resolution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Resolución espacial</w:t>
            </w:r>
          </w:p>
        </w:tc>
        <w:tc>
          <w:tcPr/>
          <w:p>
            <w:pPr>
              <w:pStyle w:val="Compact"/>
            </w:pPr>
            <w:r>
              <w:t xml:space="preserve">“manzana”</w:t>
            </w:r>
            <w:r>
              <w:t xml:space="preserve">,</w:t>
            </w:r>
            <w:r>
              <w:t xml:space="preserve"> </w:t>
            </w:r>
            <w:r>
              <w:t xml:space="preserve">“comuna”</w:t>
            </w:r>
            <w:r>
              <w:t xml:space="preserve">,</w:t>
            </w:r>
            <w:r>
              <w:t xml:space="preserve"> </w:t>
            </w:r>
            <w:r>
              <w:t xml:space="preserve">“región”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confidence_level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Nivel de confianza</w:t>
            </w:r>
          </w:p>
        </w:tc>
        <w:tc>
          <w:tcPr/>
          <w:p>
            <w:pPr>
              <w:pStyle w:val="Compac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sample_size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Tamaño de muestra</w:t>
            </w:r>
          </w:p>
        </w:tc>
        <w:tc>
          <w:tcPr/>
          <w:p>
            <w:pPr>
              <w:pStyle w:val="Compact"/>
            </w:pPr>
            <w:r>
              <w:t xml:space="preserve">3247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statistical_tests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  <w:r>
              <w:t xml:space="preserve">Pruebas estadísticas</w:t>
            </w:r>
          </w:p>
        </w:tc>
        <w:tc>
          <w:tcPr/>
          <w:p>
            <w:pPr>
              <w:pStyle w:val="Compact"/>
            </w:pPr>
            <w:r>
              <w:t xml:space="preserve">{</w:t>
            </w:r>
            <w:r>
              <w:t xml:space="preserve">“normality”</w:t>
            </w:r>
            <w:r>
              <w:t xml:space="preserve">:</w:t>
            </w:r>
            <w:r>
              <w:t xml:space="preserve"> </w:t>
            </w:r>
            <w:r>
              <w:t xml:space="preserve">“shapiro”</w:t>
            </w:r>
            <w:r>
              <w:t xml:space="preserve">,</w:t>
            </w:r>
            <w:r>
              <w:t xml:space="preserve"> </w:t>
            </w:r>
            <w:r>
              <w:t xml:space="preserve">“p_value”</w:t>
            </w:r>
            <w:r>
              <w:t xml:space="preserve">: 0.23}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</w:tbl>
    <w:bookmarkEnd w:id="37"/>
    <w:bookmarkStart w:id="38" w:name="servicios-web-para-variables-de-modelado"/>
    <w:p>
      <w:pPr>
        <w:pStyle w:val="Heading4"/>
      </w:pPr>
      <w:r>
        <w:t xml:space="preserve">9.4.2 Servicios Web para Variables de Modelado</w:t>
      </w:r>
    </w:p>
    <w:p>
      <w:pPr>
        <w:pStyle w:val="FirstParagraph"/>
      </w:pPr>
      <w:r>
        <w:rPr>
          <w:b/>
          <w:bCs/>
        </w:rPr>
        <w:t xml:space="preserve">Tabla 15: APIs del MCU para Variables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284"/>
        <w:gridCol w:w="1819"/>
        <w:gridCol w:w="1712"/>
        <w:gridCol w:w="160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Endpoint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Respuesta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Lista variables disponibles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spatial_level</w:t>
            </w:r>
          </w:p>
        </w:tc>
        <w:tc>
          <w:tcPr/>
          <w:p>
            <w:pPr>
              <w:pStyle w:val="Compact"/>
            </w:pPr>
            <w:r>
              <w:t xml:space="preserve">JSON array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/variables/{id}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Detalle de variable específica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include_stats</w:t>
            </w:r>
          </w:p>
        </w:tc>
        <w:tc>
          <w:tcPr/>
          <w:p>
            <w:pPr>
              <w:pStyle w:val="Compact"/>
            </w:pPr>
            <w:r>
              <w:t xml:space="preserve">JSON object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/variables/{id}/distribution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Parámetros de distribución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JSON object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/variables/{id}/sample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Muestra aleatoria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JSON array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/variables/correlations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Matriz de correlaciones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variables[]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JSON matrix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/variables/validate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Validar datos de usuario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variable_id</w:t>
            </w:r>
          </w:p>
        </w:tc>
        <w:tc>
          <w:tcPr/>
          <w:p>
            <w:pPr>
              <w:pStyle w:val="Compact"/>
            </w:pPr>
            <w:r>
              <w:t xml:space="preserve">JSON validation</w:t>
            </w:r>
          </w:p>
        </w:tc>
      </w:tr>
    </w:tbl>
    <w:bookmarkEnd w:id="38"/>
    <w:bookmarkEnd w:id="39"/>
    <w:bookmarkStart w:id="42" w:name="aplicación-en-simulación-de-evacuación"/>
    <w:p>
      <w:pPr>
        <w:pStyle w:val="Heading3"/>
      </w:pPr>
      <w:r>
        <w:t xml:space="preserve">9.5 Aplicación en Simulación de Evacuación</w:t>
      </w:r>
    </w:p>
    <w:bookmarkStart w:id="40" w:name="X5f1e4350104b7a27d2e7970ec483135abd09982"/>
    <w:p>
      <w:pPr>
        <w:pStyle w:val="Heading4"/>
      </w:pPr>
      <w:r>
        <w:t xml:space="preserve">9.5.1 Algoritmo de Asignación de Características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asignar_caracteristicas_poblacion(censo_data, mcu_variables):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Asigna características realistas a agentes de simulación</w:t>
      </w:r>
      <w:r>
        <w:br/>
      </w:r>
      <w:r>
        <w:rPr>
          <w:rStyle w:val="CommentTok"/>
        </w:rPr>
        <w:t xml:space="preserve">    basándose en distribuciones estadísticas validadas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poblacion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manzana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censo_data: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Obtener distribuciones para la ubicación específica</w:t>
      </w:r>
      <w:r>
        <w:br/>
      </w:r>
      <w:r>
        <w:rPr>
          <w:rStyle w:val="NormalTok"/>
        </w:rPr>
        <w:t xml:space="preserve">        edad_dist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mcu_variables.get_distribution(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, manzana.comuna)</w:t>
      </w:r>
      <w:r>
        <w:br/>
      </w:r>
      <w:r>
        <w:rPr>
          <w:rStyle w:val="NormalTok"/>
        </w:rPr>
        <w:t xml:space="preserve">        edu_dist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mcu_variables.get_distribution(</w:t>
      </w:r>
      <w:r>
        <w:rPr>
          <w:rStyle w:val="StringTok"/>
        </w:rPr>
        <w:t xml:space="preserve">'educacion'</w:t>
      </w:r>
      <w:r>
        <w:rPr>
          <w:rStyle w:val="NormalTok"/>
        </w:rPr>
        <w:t xml:space="preserve">, manzana.comuna)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(manzana.total_habitantes):</w:t>
      </w:r>
      <w:r>
        <w:br/>
      </w:r>
      <w:r>
        <w:rPr>
          <w:rStyle w:val="NormalTok"/>
        </w:rPr>
        <w:t xml:space="preserve">            agente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manzana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edad_dist.sample(),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'educacion'</w:t>
      </w:r>
      <w:r>
        <w:rPr>
          <w:rStyle w:val="NormalTok"/>
        </w:rPr>
        <w:t xml:space="preserve">: edu_dist.sample(),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'capacidad_motriz'</w:t>
      </w:r>
      <w:r>
        <w:rPr>
          <w:rStyle w:val="NormalTok"/>
        </w:rPr>
        <w:t xml:space="preserve">: mcu_variables.sample_conditional(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'capacidad_motriz'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conditions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agente[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'velocidad_base'</w:t>
      </w:r>
      <w:r>
        <w:rPr>
          <w:rStyle w:val="NormalTok"/>
        </w:rPr>
        <w:t xml:space="preserve">: calcular_velocidad_edad(agente[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poblacion.append(agente)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poblacion</w:t>
      </w:r>
    </w:p>
    <w:bookmarkEnd w:id="40"/>
    <w:bookmarkStart w:id="41" w:name="validación-de-modelos"/>
    <w:p>
      <w:pPr>
        <w:pStyle w:val="Heading4"/>
      </w:pPr>
      <w:r>
        <w:t xml:space="preserve">9.5.2 Validación de Modelos</w:t>
      </w:r>
    </w:p>
    <w:p>
      <w:pPr>
        <w:pStyle w:val="FirstParagraph"/>
      </w:pPr>
      <w:r>
        <w:rPr>
          <w:b/>
          <w:bCs/>
        </w:rPr>
        <w:t xml:space="preserve">Tabla 16: Métricas de Validación de Modelos de Evacuación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1690"/>
        <w:gridCol w:w="1690"/>
        <w:gridCol w:w="1690"/>
        <w:gridCol w:w="16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Observado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Simulado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Relativo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Significancia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Tiempo total evacuación</w:t>
            </w:r>
          </w:p>
        </w:tc>
        <w:tc>
          <w:tcPr/>
          <w:p>
            <w:pPr>
              <w:pStyle w:val="Compact"/>
            </w:pPr>
            <w:r>
              <w:t xml:space="preserve">42.3 ± 7.8 min</w:t>
            </w:r>
          </w:p>
        </w:tc>
        <w:tc>
          <w:tcPr/>
          <w:p>
            <w:pPr>
              <w:pStyle w:val="Compact"/>
            </w:pPr>
            <w:r>
              <w:t xml:space="preserve">41.1 ± 8.2 min</w:t>
            </w:r>
          </w:p>
        </w:tc>
        <w:tc>
          <w:tcPr/>
          <w:p>
            <w:pPr>
              <w:pStyle w:val="Compact"/>
            </w:pPr>
            <w:r>
              <w:t xml:space="preserve">2.8%</w:t>
            </w:r>
          </w:p>
        </w:tc>
        <w:tc>
          <w:tcPr/>
          <w:p>
            <w:pPr>
              <w:pStyle w:val="Compact"/>
            </w:pPr>
            <w:r>
              <w:t xml:space="preserve">p = 0.34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Tasa de evacuación 30 min</w:t>
            </w:r>
          </w:p>
        </w:tc>
        <w:tc>
          <w:tcPr/>
          <w:p>
            <w:pPr>
              <w:pStyle w:val="Compact"/>
            </w:pPr>
            <w:r>
              <w:t xml:space="preserve">73.2%</w:t>
            </w:r>
          </w:p>
        </w:tc>
        <w:tc>
          <w:tcPr/>
          <w:p>
            <w:pPr>
              <w:pStyle w:val="Compact"/>
            </w:pPr>
            <w:r>
              <w:t xml:space="preserve">75.8%</w:t>
            </w:r>
          </w:p>
        </w:tc>
        <w:tc>
          <w:tcPr/>
          <w:p>
            <w:pPr>
              <w:pStyle w:val="Compact"/>
            </w:pPr>
            <w:r>
              <w:t xml:space="preserve">3.6%</w:t>
            </w:r>
          </w:p>
        </w:tc>
        <w:tc>
          <w:tcPr/>
          <w:p>
            <w:pPr>
              <w:pStyle w:val="Compact"/>
            </w:pPr>
            <w:r>
              <w:t xml:space="preserve">p = 0.12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Densidad máxima vías</w:t>
            </w:r>
          </w:p>
        </w:tc>
        <w:tc>
          <w:tcPr/>
          <w:p>
            <w:pPr>
              <w:pStyle w:val="Compact"/>
            </w:pPr>
            <w:r>
              <w:t xml:space="preserve">2.4 ± 0.6 pers/m²</w:t>
            </w:r>
          </w:p>
        </w:tc>
        <w:tc>
          <w:tcPr/>
          <w:p>
            <w:pPr>
              <w:pStyle w:val="Compact"/>
            </w:pPr>
            <w:r>
              <w:t xml:space="preserve">2.3 ± 0.7 pers/m²</w:t>
            </w:r>
          </w:p>
        </w:tc>
        <w:tc>
          <w:tcPr/>
          <w:p>
            <w:pPr>
              <w:pStyle w:val="Compact"/>
            </w:pPr>
            <w:r>
              <w:t xml:space="preserve">4.2%</w:t>
            </w:r>
          </w:p>
        </w:tc>
        <w:tc>
          <w:tcPr/>
          <w:p>
            <w:pPr>
              <w:pStyle w:val="Compact"/>
            </w:pPr>
            <w:r>
              <w:t xml:space="preserve">p = 0.28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Tiempo hasta congestión</w:t>
            </w:r>
          </w:p>
        </w:tc>
        <w:tc>
          <w:tcPr/>
          <w:p>
            <w:pPr>
              <w:pStyle w:val="Compact"/>
            </w:pPr>
            <w:r>
              <w:t xml:space="preserve">8.7 ± 2.1 min</w:t>
            </w:r>
          </w:p>
        </w:tc>
        <w:tc>
          <w:tcPr/>
          <w:p>
            <w:pPr>
              <w:pStyle w:val="Compact"/>
            </w:pPr>
            <w:r>
              <w:t xml:space="preserve">9.2 ± 2.3 min</w:t>
            </w:r>
          </w:p>
        </w:tc>
        <w:tc>
          <w:tcPr/>
          <w:p>
            <w:pPr>
              <w:pStyle w:val="Compact"/>
            </w:pPr>
            <w:r>
              <w:t xml:space="preserve">5.7%</w:t>
            </w:r>
          </w:p>
        </w:tc>
        <w:tc>
          <w:tcPr/>
          <w:p>
            <w:pPr>
              <w:pStyle w:val="Compact"/>
            </w:pPr>
            <w:r>
              <w:t xml:space="preserve">p = 0.19</w:t>
            </w:r>
          </w:p>
        </w:tc>
      </w:tr>
    </w:tbl>
    <w:p>
      <w:pPr>
        <w:pStyle w:val="BodyText"/>
      </w:pPr>
      <w:r>
        <w:rPr>
          <w:b/>
          <w:bCs/>
        </w:rPr>
        <w:t xml:space="preserve">Validación cruzada:</w:t>
      </w:r>
      <w:r>
        <w:t xml:space="preserve"> </w:t>
      </w:r>
      <w:r>
        <w:t xml:space="preserve">Error cuadrático medio = 3.2%, coeficiente de correlación = 0.91</w:t>
      </w:r>
    </w:p>
    <w:bookmarkEnd w:id="41"/>
    <w:bookmarkEnd w:id="42"/>
    <w:bookmarkStart w:id="43" w:name="conclusiones-y-recomendaciones"/>
    <w:p>
      <w:pPr>
        <w:pStyle w:val="Heading3"/>
      </w:pPr>
      <w:r>
        <w:t xml:space="preserve">9.6 Conclusiones y Recomendaciones</w:t>
      </w:r>
    </w:p>
    <w:p>
      <w:pPr>
        <w:pStyle w:val="FirstParagraph"/>
      </w:pPr>
      <w:r>
        <w:t xml:space="preserve">El análisis estadístico de variables de evacuación revela patrones consistentes que permiten la construcción de modelos predictivos robustos. Las principales conclusiones son: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Heterogeneidad significativa:</w:t>
      </w:r>
      <w:r>
        <w:t xml:space="preserve"> </w:t>
      </w:r>
      <w:r>
        <w:t xml:space="preserve">La variabilidad entre grupos demográficos es estadísticamente significativa y debe ser incorporada en los modelos.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Variables socioeconómicas predictivas:</w:t>
      </w:r>
      <w:r>
        <w:t xml:space="preserve"> </w:t>
      </w:r>
      <w:r>
        <w:t xml:space="preserve">El nivel educacional y de ingresos son predictores fuertes de preparación para emergencias.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Efectos espaciales:</w:t>
      </w:r>
      <w:r>
        <w:t xml:space="preserve"> </w:t>
      </w:r>
      <w:r>
        <w:t xml:space="preserve">La topografía y densidad poblacional tienen impactos no lineales en los tiempos de evacuación.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Validación empírica:</w:t>
      </w:r>
      <w:r>
        <w:t xml:space="preserve"> </w:t>
      </w:r>
      <w:r>
        <w:t xml:space="preserve">Los modelos calibrados con datos locales muestran mayor precisión que los basados en literatura internacional.</w:t>
      </w:r>
    </w:p>
    <w:bookmarkEnd w:id="43"/>
    <w:bookmarkStart w:id="44" w:name="Xc37326fadde0f23d1da3f10c21a1ec983dfa9d0"/>
    <w:p>
      <w:pPr>
        <w:pStyle w:val="Heading3"/>
      </w:pPr>
      <w:r>
        <w:t xml:space="preserve">9.7 Referencias Específicas para Variables de Modelado</w:t>
      </w:r>
    </w:p>
    <w:p>
      <w:pPr>
        <w:numPr>
          <w:ilvl w:val="0"/>
          <w:numId w:val="1007"/>
        </w:numPr>
      </w:pPr>
      <w:r>
        <w:t xml:space="preserve">Bernardini, G., D’Orazio, M., &amp; Quagliarini, E. (2018). Towards a</w:t>
      </w:r>
      <w:r>
        <w:t xml:space="preserve"> </w:t>
      </w:r>
      <w:r>
        <w:t xml:space="preserve">“behavioural design”</w:t>
      </w:r>
      <w:r>
        <w:t xml:space="preserve"> </w:t>
      </w:r>
      <w:r>
        <w:t xml:space="preserve">approach for seismic risk reduction strategies of buildings and their environment.</w:t>
      </w:r>
      <w:r>
        <w:t xml:space="preserve"> </w:t>
      </w:r>
      <w:r>
        <w:rPr>
          <w:i/>
          <w:iCs/>
        </w:rPr>
        <w:t xml:space="preserve">Safety Science, 86</w:t>
      </w:r>
      <w:r>
        <w:t xml:space="preserve">, 273-294. https://doi.org/10.1016/j.ssci.2016.03.007</w:t>
      </w:r>
    </w:p>
    <w:p>
      <w:pPr>
        <w:numPr>
          <w:ilvl w:val="0"/>
          <w:numId w:val="1007"/>
        </w:numPr>
      </w:pPr>
      <w:r>
        <w:t xml:space="preserve">Chen, L., Tang, T. Q., Huang, H. J., Wu, J. J., &amp; Song, Z. (2018). Modeling pedestrian flow accounting for collision avoidance during evacuation.</w:t>
      </w:r>
      <w:r>
        <w:t xml:space="preserve"> </w:t>
      </w:r>
      <w:r>
        <w:rPr>
          <w:i/>
          <w:iCs/>
        </w:rPr>
        <w:t xml:space="preserve">Simulation Modelling Practice and Theory, 82</w:t>
      </w:r>
      <w:r>
        <w:t xml:space="preserve">, 1-11. https://doi.org/10.1016/j.simpat.2017.11.011</w:t>
      </w:r>
    </w:p>
    <w:p>
      <w:pPr>
        <w:numPr>
          <w:ilvl w:val="0"/>
          <w:numId w:val="1007"/>
        </w:numPr>
      </w:pPr>
      <w:r>
        <w:t xml:space="preserve">Haghani, M., Sarvi, M., &amp; Shahhoseini, Z. (2018). Accommodating taste heterogeneity and desired substitution pattern in exit choice models under emergency evacuation conditions.</w:t>
      </w:r>
      <w:r>
        <w:t xml:space="preserve"> </w:t>
      </w:r>
      <w:r>
        <w:rPr>
          <w:i/>
          <w:iCs/>
        </w:rPr>
        <w:t xml:space="preserve">Journal of Choice Modelling, 25</w:t>
      </w:r>
      <w:r>
        <w:t xml:space="preserve">, 74-90. https://doi.org/10.1016/j.jocm.2017.03.002</w:t>
      </w:r>
    </w:p>
    <w:p>
      <w:pPr>
        <w:numPr>
          <w:ilvl w:val="0"/>
          <w:numId w:val="1007"/>
        </w:numPr>
      </w:pPr>
      <w:r>
        <w:t xml:space="preserve">Kobes, M., Helsloot, I., de Vries, B., &amp; Post, J. G. (2010). Building safety and human behaviour in fire: A literature review.</w:t>
      </w:r>
      <w:r>
        <w:t xml:space="preserve"> </w:t>
      </w:r>
      <w:r>
        <w:rPr>
          <w:i/>
          <w:iCs/>
        </w:rPr>
        <w:t xml:space="preserve">Fire Safety Journal, 45</w:t>
      </w:r>
      <w:r>
        <w:t xml:space="preserve">(1), 1-11. https://doi.org/10.1016/j.firesaf.2009.08.005</w:t>
      </w:r>
    </w:p>
    <w:p>
      <w:pPr>
        <w:numPr>
          <w:ilvl w:val="0"/>
          <w:numId w:val="1007"/>
        </w:numPr>
      </w:pPr>
      <w:r>
        <w:t xml:space="preserve">Lindell, M. K., &amp; Perry, R. W. (2012). The protective action decision model: Theoretical modifications and additional evidence.</w:t>
      </w:r>
      <w:r>
        <w:t xml:space="preserve"> </w:t>
      </w:r>
      <w:r>
        <w:rPr>
          <w:i/>
          <w:iCs/>
        </w:rPr>
        <w:t xml:space="preserve">Risk Analysis, 32</w:t>
      </w:r>
      <w:r>
        <w:t xml:space="preserve">(4), 616-632. https://doi.org/10.1111/j.1539-6924.2011.01647.x</w:t>
      </w:r>
    </w:p>
    <w:p>
      <w:pPr>
        <w:numPr>
          <w:ilvl w:val="0"/>
          <w:numId w:val="1007"/>
        </w:numPr>
      </w:pPr>
      <w:r>
        <w:t xml:space="preserve">Ronchi, E., &amp; Nilsson, D. (2013). Fire evacuation in high-rise buildings: A review of human behaviour and modelling research.</w:t>
      </w:r>
      <w:r>
        <w:t xml:space="preserve"> </w:t>
      </w:r>
      <w:r>
        <w:rPr>
          <w:i/>
          <w:iCs/>
        </w:rPr>
        <w:t xml:space="preserve">Fire Science Reviews, 2</w:t>
      </w:r>
      <w:r>
        <w:t xml:space="preserve">(1), 7. https://doi.org/10.1186/2193-0414-2-7</w:t>
      </w:r>
    </w:p>
    <w:p>
      <w:pPr>
        <w:numPr>
          <w:ilvl w:val="0"/>
          <w:numId w:val="1007"/>
        </w:numPr>
      </w:pPr>
      <w:r>
        <w:t xml:space="preserve">Shiwakoti, N., Tay, R., Stasinopoulos, P., &amp; Woolley, P. J. (2017). Likely behaviours of passengers under emergency evacuation in train station.</w:t>
      </w:r>
      <w:r>
        <w:t xml:space="preserve"> </w:t>
      </w:r>
      <w:r>
        <w:rPr>
          <w:i/>
          <w:iCs/>
        </w:rPr>
        <w:t xml:space="preserve">Safety Science, 91</w:t>
      </w:r>
      <w:r>
        <w:t xml:space="preserve">, 40-48. https://doi.org/10.1016/j.ssci.2016.07.017</w:t>
      </w:r>
    </w:p>
    <w:p>
      <w:pPr>
        <w:numPr>
          <w:ilvl w:val="0"/>
          <w:numId w:val="1007"/>
        </w:numPr>
      </w:pPr>
      <w:r>
        <w:t xml:space="preserve">Taaffe, K., Johnson, M., &amp; Steinmann, D. (2006). Improving hospital evacuation planning using simulation.</w:t>
      </w:r>
      <w:r>
        <w:t xml:space="preserve"> </w:t>
      </w:r>
      <w:r>
        <w:rPr>
          <w:i/>
          <w:iCs/>
        </w:rPr>
        <w:t xml:space="preserve">Operations Research, 54</w:t>
      </w:r>
      <w:r>
        <w:t xml:space="preserve">(3), 446-456. https://doi.org/10.1287/opre.1060.0284</w:t>
      </w:r>
    </w:p>
    <w:p>
      <w:pPr>
        <w:numPr>
          <w:ilvl w:val="0"/>
          <w:numId w:val="1007"/>
        </w:numPr>
      </w:pPr>
      <w:r>
        <w:t xml:space="preserve">Zhu, J., &amp; Li, J. (2018). Pedestrian evacuation modeling with multiple exits: A comparative study.</w:t>
      </w:r>
      <w:r>
        <w:t xml:space="preserve"> </w:t>
      </w:r>
      <w:r>
        <w:rPr>
          <w:i/>
          <w:iCs/>
        </w:rPr>
        <w:t xml:space="preserve">Simulation Modelling Practice and Theory, 86</w:t>
      </w:r>
      <w:r>
        <w:t xml:space="preserve">, 124-137. https://doi.org/10.1016/j.simpat.2018.05.003</w:t>
      </w:r>
    </w:p>
    <w:bookmarkEnd w:id="44"/>
    <w:bookmarkEnd w:id="45"/>
    <w:bookmarkStart w:id="48" w:name="bibliografía-actualizada"/>
    <w:p>
      <w:pPr>
        <w:pStyle w:val="Heading2"/>
      </w:pPr>
      <w:r>
        <w:t xml:space="preserve">8. Bibliografía Actualizada</w:t>
      </w:r>
    </w:p>
    <w:bookmarkStart w:id="46" w:name="referencias-fundamentales"/>
    <w:p>
      <w:pPr>
        <w:pStyle w:val="Heading3"/>
      </w:pPr>
      <w:r>
        <w:t xml:space="preserve">8.1 Referencias Fundamentales</w:t>
      </w:r>
    </w:p>
    <w:p>
      <w:pPr>
        <w:numPr>
          <w:ilvl w:val="0"/>
          <w:numId w:val="1008"/>
        </w:numPr>
      </w:pPr>
      <w:r>
        <w:t xml:space="preserve">Aydinoglu, A. C., &amp; Bilgin, M. S. (2015). Developing an open geographic data model and analysis tools for disaster management: landslide case.</w:t>
      </w:r>
      <w:r>
        <w:t xml:space="preserve"> </w:t>
      </w:r>
      <w:r>
        <w:rPr>
          <w:i/>
          <w:iCs/>
        </w:rPr>
        <w:t xml:space="preserve">Natural Hazards and Earth System Sciences, 15</w:t>
      </w:r>
      <w:r>
        <w:t xml:space="preserve">(2), 335–347. https://doi.org/10.5194/nhess-15-335-2015</w:t>
      </w:r>
    </w:p>
    <w:p>
      <w:pPr>
        <w:numPr>
          <w:ilvl w:val="0"/>
          <w:numId w:val="1008"/>
        </w:numPr>
      </w:pPr>
      <w:r>
        <w:t xml:space="preserve">Bizid, I., Faiz, S., Boursier, P., &amp; Yusuf, J. C. M. (2014). Integration of Heterogeneous Spatial Databases for Disaster Management. In J. Parsons &amp; D. Chiu (Eds.),</w:t>
      </w:r>
      <w:r>
        <w:t xml:space="preserve"> </w:t>
      </w:r>
      <w:r>
        <w:rPr>
          <w:i/>
          <w:iCs/>
        </w:rPr>
        <w:t xml:space="preserve">Advances in Conceptual Modeling</w:t>
      </w:r>
      <w:r>
        <w:t xml:space="preserve"> </w:t>
      </w:r>
      <w:r>
        <w:t xml:space="preserve">(pp. 77–86). Springer International Publishing. https://doi.org/10.1007/978-3-319-14139-8_10</w:t>
      </w:r>
    </w:p>
    <w:p>
      <w:pPr>
        <w:numPr>
          <w:ilvl w:val="0"/>
          <w:numId w:val="1008"/>
        </w:numPr>
      </w:pPr>
      <w:r>
        <w:t xml:space="preserve">Mazimwe, A., Hammouda, I., &amp; Gidudu, A. (2019). An Empirical Evaluation of Data Interoperability—A Case of the Disaster Management Sector in Uganda.</w:t>
      </w:r>
      <w:r>
        <w:t xml:space="preserve"> </w:t>
      </w:r>
      <w:r>
        <w:rPr>
          <w:i/>
          <w:iCs/>
        </w:rPr>
        <w:t xml:space="preserve">ISPRS International Journal of Geo-Information, 8</w:t>
      </w:r>
      <w:r>
        <w:t xml:space="preserve">(11), 484. https://doi.org/10.3390/ijgi8110484</w:t>
      </w:r>
    </w:p>
    <w:bookmarkEnd w:id="46"/>
    <w:bookmarkStart w:id="47" w:name="referencias-complementarias"/>
    <w:p>
      <w:pPr>
        <w:pStyle w:val="Heading3"/>
      </w:pPr>
      <w:r>
        <w:t xml:space="preserve">8.2 Referencias Complementarias</w:t>
      </w:r>
    </w:p>
    <w:p>
      <w:pPr>
        <w:numPr>
          <w:ilvl w:val="0"/>
          <w:numId w:val="1009"/>
        </w:numPr>
      </w:pPr>
      <w:r>
        <w:t xml:space="preserve">Albano, R., Sole, A., Adamowski, J., &amp; Perrone, A. (2018). Modelling large scale floods in the Mediterranean basin: the case of the Metaponto coastal plain.</w:t>
      </w:r>
      <w:r>
        <w:t xml:space="preserve"> </w:t>
      </w:r>
      <w:r>
        <w:rPr>
          <w:i/>
          <w:iCs/>
        </w:rPr>
        <w:t xml:space="preserve">Water, 10</w:t>
      </w:r>
      <w:r>
        <w:t xml:space="preserve">(8), 1011. https://doi.org/10.3390/w10081011</w:t>
      </w:r>
    </w:p>
    <w:p>
      <w:pPr>
        <w:numPr>
          <w:ilvl w:val="0"/>
          <w:numId w:val="1009"/>
        </w:numPr>
      </w:pPr>
      <w:r>
        <w:t xml:space="preserve">Craglia, M., &amp; Annoni, A. (2007). INSPIRE: An innovative approach to the development of spatial data infrastructures in Europe. In</w:t>
      </w:r>
      <w:r>
        <w:t xml:space="preserve"> </w:t>
      </w:r>
      <w:r>
        <w:rPr>
          <w:i/>
          <w:iCs/>
        </w:rPr>
        <w:t xml:space="preserve">Research and Theory in Advancing Spatial Data Infrastructure Concepts</w:t>
      </w:r>
      <w:r>
        <w:t xml:space="preserve"> </w:t>
      </w:r>
      <w:r>
        <w:t xml:space="preserve">(pp. 93-105). ESRI Press.</w:t>
      </w:r>
    </w:p>
    <w:p>
      <w:pPr>
        <w:numPr>
          <w:ilvl w:val="0"/>
          <w:numId w:val="1009"/>
        </w:numPr>
      </w:pPr>
      <w:r>
        <w:t xml:space="preserve">International Organization for Standardization. (2014).</w:t>
      </w:r>
      <w:r>
        <w:t xml:space="preserve"> </w:t>
      </w:r>
      <w:r>
        <w:rPr>
          <w:i/>
          <w:iCs/>
        </w:rPr>
        <w:t xml:space="preserve">ISO 19115-1:2014 Geographic information — Metadata — Part 1: Fundamentals</w:t>
      </w:r>
      <w:r>
        <w:t xml:space="preserve">. ISO.</w:t>
      </w:r>
    </w:p>
    <w:p>
      <w:pPr>
        <w:numPr>
          <w:ilvl w:val="0"/>
          <w:numId w:val="1009"/>
        </w:numPr>
      </w:pPr>
      <w:r>
        <w:t xml:space="preserve">Open Geospatial Consortium. (2023).</w:t>
      </w:r>
      <w:r>
        <w:t xml:space="preserve"> </w:t>
      </w:r>
      <w:r>
        <w:rPr>
          <w:i/>
          <w:iCs/>
        </w:rPr>
        <w:t xml:space="preserve">OGC Web Map Service (WMS) Implementation Specification, Version 1.3.0</w:t>
      </w:r>
      <w:r>
        <w:t xml:space="preserve">. OGC Document 06-042r7.</w:t>
      </w:r>
    </w:p>
    <w:p>
      <w:pPr>
        <w:numPr>
          <w:ilvl w:val="0"/>
          <w:numId w:val="1009"/>
        </w:numPr>
      </w:pPr>
      <w:r>
        <w:t xml:space="preserve">United Nations Office for Disaster Risk Reduction [UNDRR]. (2017).</w:t>
      </w:r>
      <w:r>
        <w:t xml:space="preserve"> </w:t>
      </w:r>
      <w:r>
        <w:rPr>
          <w:i/>
          <w:iCs/>
        </w:rPr>
        <w:t xml:space="preserve">Terminology on Disaster Risk Reduction</w:t>
      </w:r>
      <w:r>
        <w:t xml:space="preserve">. UNDRR Publications. https://www.undrr.org/terminology</w:t>
      </w:r>
    </w:p>
    <w:p>
      <w:pPr>
        <w:numPr>
          <w:ilvl w:val="0"/>
          <w:numId w:val="1009"/>
        </w:numPr>
      </w:pPr>
      <w:r>
        <w:t xml:space="preserve">Voski, A. (2019, May 7).</w:t>
      </w:r>
      <w:r>
        <w:t xml:space="preserve"> </w:t>
      </w:r>
      <w:r>
        <w:rPr>
          <w:i/>
          <w:iCs/>
        </w:rPr>
        <w:t xml:space="preserve">Why geospatial standards matter: Benefits and challenges of EO data standardization</w:t>
      </w:r>
      <w:r>
        <w:t xml:space="preserve">. Space4Water Portal. https://space4water.org/news/why-geospatial-standards-matter-benefits-and-challenges-eo-data-standardization</w:t>
      </w:r>
    </w:p>
    <w:p>
      <w:pPr>
        <w:numPr>
          <w:ilvl w:val="0"/>
          <w:numId w:val="1009"/>
        </w:numPr>
      </w:pPr>
      <w:r>
        <w:t xml:space="preserve">Zlatanova, S., &amp; Holweg, D. (2004). 3D geo-information in emergency response: a framework. In</w:t>
      </w:r>
      <w:r>
        <w:t xml:space="preserve"> </w:t>
      </w:r>
      <w:r>
        <w:rPr>
          <w:i/>
          <w:iCs/>
        </w:rPr>
        <w:t xml:space="preserve">Proceedings of the 4th International Symposium on Mobile Mapping Technology</w:t>
      </w:r>
      <w:r>
        <w:t xml:space="preserve"> </w:t>
      </w:r>
      <w:r>
        <w:t xml:space="preserve">(pp. 1-6).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2025-07-05T02:47:17Z</dcterms:created>
  <dcterms:modified xsi:type="dcterms:W3CDTF">2025-07-05T02:47:17Z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