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AQI Air Quality Index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Range:</w:t>
      </w:r>
      <w:r w:rsidDel="00000000" w:rsidR="00000000" w:rsidRPr="00000000">
        <w:rPr>
          <w:rtl w:val="0"/>
        </w:rPr>
      </w:r>
    </w:p>
    <w:tbl>
      <w:tblPr>
        <w:tblStyle w:val="Table1"/>
        <w:tblW w:w="7380.0" w:type="dxa"/>
        <w:jc w:val="left"/>
        <w:tblInd w:w="1180.0" w:type="dxa"/>
        <w:tblBorders>
          <w:top w:color="808080" w:space="0" w:sz="12" w:val="single"/>
          <w:left w:color="808080" w:space="0" w:sz="12" w:val="single"/>
          <w:bottom w:color="808080" w:space="0" w:sz="12" w:val="single"/>
          <w:right w:color="808080" w:space="0" w:sz="12" w:val="single"/>
          <w:insideH w:color="808080" w:space="0" w:sz="12" w:val="single"/>
          <w:insideV w:color="808080" w:space="0" w:sz="12" w:val="single"/>
        </w:tblBorders>
        <w:tblLayout w:type="fixed"/>
        <w:tblLook w:val="0600"/>
      </w:tblPr>
      <w:tblGrid>
        <w:gridCol w:w="2962.5"/>
        <w:gridCol w:w="2962.5"/>
        <w:gridCol w:w="1455"/>
        <w:tblGridChange w:id="0">
          <w:tblGrid>
            <w:gridCol w:w="2962.5"/>
            <w:gridCol w:w="2962.5"/>
            <w:gridCol w:w="145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Air Quality Index (AQI)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Levels of Health Concern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Colors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 to 50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Good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Green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51 to 100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Moderate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Yellow</w:t>
            </w:r>
          </w:p>
        </w:tc>
      </w:tr>
      <w:tr>
        <w:trPr>
          <w:trHeight w:val="48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101 to 150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Unhealthy for Sensitive Groups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99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Orange</w:t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151 to 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Unhealthy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Red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201 to 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Very Unhealthy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900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Purple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301 to 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Hazardous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Maroon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Values for PM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2.5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PM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CO, 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, NO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and SO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80.0" w:type="pc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900"/>
        <w:gridCol w:w="840"/>
        <w:gridCol w:w="1155"/>
        <w:gridCol w:w="945"/>
        <w:gridCol w:w="1005"/>
        <w:gridCol w:w="930"/>
        <w:gridCol w:w="1110"/>
        <w:gridCol w:w="1080"/>
        <w:gridCol w:w="1650"/>
        <w:tblGridChange w:id="0">
          <w:tblGrid>
            <w:gridCol w:w="900"/>
            <w:gridCol w:w="840"/>
            <w:gridCol w:w="1155"/>
            <w:gridCol w:w="945"/>
            <w:gridCol w:w="1005"/>
            <w:gridCol w:w="930"/>
            <w:gridCol w:w="1110"/>
            <w:gridCol w:w="1080"/>
            <w:gridCol w:w="1650"/>
          </w:tblGrid>
        </w:tblGridChange>
      </w:tblGrid>
      <w:tr>
        <w:trPr>
          <w:trHeight w:val="36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 (ppb)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vertAlign w:val="subscript"/>
                <w:rtl w:val="0"/>
              </w:rPr>
              <w:t xml:space="preserve">2.5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 (µg/m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PM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vertAlign w:val="subscript"/>
                <w:rtl w:val="0"/>
              </w:rPr>
              <w:t xml:space="preserve">10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 (µg/m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CO (ppm)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SO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 (ppb)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 (ppb)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AQI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AQI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before="0" w:lineRule="auto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 (avg)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low</w:t>
            </w: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222222"/>
                <w:sz w:val="20"/>
                <w:szCs w:val="20"/>
                <w:vertAlign w:val="subscript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0-54 </w:t>
            </w:r>
          </w:p>
          <w:p w:rsidR="00000000" w:rsidDel="00000000" w:rsidP="00000000" w:rsidRDefault="00000000" w:rsidRPr="00000000" w14:paraId="0000002E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0.0-12.0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0-54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0.0-4.4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0-35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0-53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0-50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00e40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Good</w:t>
            </w:r>
          </w:p>
        </w:tc>
      </w:tr>
      <w:tr>
        <w:trPr>
          <w:trHeight w:val="62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55-70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12.1-35.4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55-154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4.5-9.4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36-75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54-100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51-100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ff0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Moderate</w:t>
            </w:r>
          </w:p>
        </w:tc>
      </w:tr>
      <w:tr>
        <w:trPr>
          <w:trHeight w:val="58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71-85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125-164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35.5-55.4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155-254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9.5-12.4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76-185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101-360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101-150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7e0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Unhealthy for Sensitive Groups</w:t>
            </w:r>
          </w:p>
        </w:tc>
      </w:tr>
      <w:tr>
        <w:trPr>
          <w:trHeight w:val="5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86-105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165-204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55.5-150.4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255-354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12.5-15.4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186-304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361-649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151-200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ff0000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Unhealthy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106-200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205-404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150.5-250.4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355-424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15.5-30.4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305-604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650-1249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201-300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99004c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Very Unhealthy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405-504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250.5-350.4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425-504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30.5-40.4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605-804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1250-1649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0"/>
                <w:szCs w:val="20"/>
                <w:rtl w:val="0"/>
              </w:rPr>
              <w:t xml:space="preserve">301-400</w:t>
            </w:r>
          </w:p>
        </w:tc>
        <w:tc>
          <w:tcPr>
            <w:vMerge w:val="restart"/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shd w:fill="7e0023" w:val="clear"/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0" w:before="0" w:lineRule="auto"/>
              <w:jc w:val="center"/>
              <w:rPr>
                <w:rFonts w:ascii="Calibri" w:cs="Calibri" w:eastAsia="Calibri" w:hAnsi="Calibri"/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0"/>
                <w:szCs w:val="20"/>
                <w:rtl w:val="0"/>
              </w:rPr>
              <w:t xml:space="preserve">Hazardous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505-604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350.5-500.4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505-604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40.5-50.4 (8-hr)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805-1004 (24-hr)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1650-2049 (1-hr)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before="0" w:lineRule="auto"/>
              <w:jc w:val="center"/>
              <w:rPr>
                <w:color w:val="222222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rtl w:val="0"/>
              </w:rPr>
              <w:t xml:space="preserve">401-500</w:t>
            </w:r>
          </w:p>
        </w:tc>
        <w:tc>
          <w:tcPr>
            <w:vMerge w:val="continue"/>
            <w:tcBorders>
              <w:bottom w:color="a2a9b1" w:space="0" w:sz="6" w:val="single"/>
              <w:right w:color="a2a9b1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before="220" w:lineRule="auto"/>
              <w:rPr>
                <w:color w:val="222222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Conversion: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846.141732283464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1 ppb = 2.62 μg/m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tabs>
          <w:tab w:val="left" w:pos="846.141732283464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tab/>
        <w:t xml:space="preserve">1 ppb = 1.88 μg/m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2">
      <w:pPr>
        <w:tabs>
          <w:tab w:val="left" w:pos="846.141732283464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 </w:t>
        <w:tab/>
        <w:t xml:space="preserve">1 ppb = 1.25 μg/m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3">
      <w:pPr>
        <w:tabs>
          <w:tab w:val="left" w:pos="846.141732283464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1 ppb = 2.00 μg/m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tabs>
          <w:tab w:val="left" w:pos="846.141732283464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 </w:t>
        <w:tab/>
        <w:t xml:space="preserve">1 ppb = 1.145 μg/m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5">
      <w:pPr>
        <w:tabs>
          <w:tab w:val="left" w:pos="846.1417322834644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Benzene</w:t>
        <w:tab/>
        <w:t xml:space="preserve">1 ppb = 3.19 μg/m</w:t>
      </w:r>
      <w:r w:rsidDel="00000000" w:rsidR="00000000" w:rsidRPr="00000000">
        <w:rPr>
          <w:rFonts w:ascii="Calibri" w:cs="Calibri" w:eastAsia="Calibri" w:hAnsi="Calibri"/>
          <w:sz w:val="20"/>
          <w:szCs w:val="20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18"/>
          <w:szCs w:val="18"/>
          <w:vertAlign w:val="superscript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Results for AIS: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SO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0.02 mg/m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, NO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0.02 mg/m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,NO 0.02 mg/m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, O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bscript"/>
          <w:rtl w:val="0"/>
        </w:rPr>
        <w:t xml:space="preserve">3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0.02 mg/m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,CO  0.02 mg/m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perscript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 , Benzene 0.02 mg/m</w:t>
      </w:r>
      <w:r w:rsidDel="00000000" w:rsidR="00000000" w:rsidRPr="00000000">
        <w:rPr>
          <w:rFonts w:ascii="Calibri" w:cs="Calibri" w:eastAsia="Calibri" w:hAnsi="Calibri"/>
          <w:sz w:val="18"/>
          <w:szCs w:val="18"/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a≤f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8f9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